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33F" w:rsidRDefault="0095533F" w:rsidP="003B42CC">
      <w:pPr>
        <w:spacing w:before="100" w:beforeAutospacing="1" w:after="120"/>
        <w:ind w:firstLine="567"/>
        <w:contextualSpacing/>
        <w:rPr>
          <w:rStyle w:val="A1"/>
          <w:rFonts w:ascii="Book Antiqua" w:hAnsi="Book Antiqua"/>
          <w:b/>
          <w:sz w:val="24"/>
          <w:szCs w:val="24"/>
          <w:u w:val="single"/>
        </w:rPr>
      </w:pPr>
    </w:p>
    <w:p w:rsidR="00E60ED2" w:rsidRPr="0095533F" w:rsidRDefault="00E60ED2" w:rsidP="003B42CC">
      <w:pPr>
        <w:spacing w:before="100" w:beforeAutospacing="1" w:after="120"/>
        <w:ind w:firstLine="567"/>
        <w:contextualSpacing/>
        <w:rPr>
          <w:rStyle w:val="A1"/>
          <w:rFonts w:ascii="Book Antiqua" w:hAnsi="Book Antiqua"/>
          <w:b/>
          <w:sz w:val="24"/>
          <w:szCs w:val="24"/>
          <w:u w:val="single"/>
        </w:rPr>
      </w:pPr>
      <w:r w:rsidRPr="0095533F">
        <w:rPr>
          <w:rStyle w:val="A1"/>
          <w:rFonts w:ascii="Book Antiqua" w:hAnsi="Book Antiqua"/>
          <w:b/>
          <w:sz w:val="24"/>
          <w:szCs w:val="24"/>
          <w:u w:val="single"/>
        </w:rPr>
        <w:t>DICTAMEN TÉCNICO SOBRE DIVERSIDAD CULTURAL Y DERECHO PENAL CON ESPECIAL REFERENCIA A LA CULTURA GITANA-ROM EN LA PROVINCIA DE BUENOS AIRES.</w:t>
      </w:r>
    </w:p>
    <w:p w:rsidR="00E60ED2" w:rsidRPr="0095533F" w:rsidRDefault="00E60ED2" w:rsidP="003B42CC">
      <w:pPr>
        <w:pStyle w:val="Subttulo"/>
        <w:spacing w:before="100" w:beforeAutospacing="1" w:after="120"/>
        <w:ind w:firstLine="567"/>
        <w:contextualSpacing/>
        <w:rPr>
          <w:rStyle w:val="A1"/>
          <w:rFonts w:ascii="Book Antiqua" w:eastAsia="Times New Roman" w:hAnsi="Book Antiqua" w:cs="Times New Roman"/>
          <w:spacing w:val="0"/>
          <w:sz w:val="24"/>
          <w:szCs w:val="24"/>
        </w:rPr>
      </w:pPr>
      <w:r w:rsidRPr="0095533F">
        <w:rPr>
          <w:rStyle w:val="A1"/>
          <w:rFonts w:ascii="Book Antiqua" w:eastAsia="Times New Roman" w:hAnsi="Book Antiqua" w:cs="Times New Roman"/>
          <w:spacing w:val="0"/>
          <w:sz w:val="24"/>
          <w:szCs w:val="24"/>
        </w:rPr>
        <w:t>El presente tiene por objeto exclusivo emitir una opinión técnica jurídica acerca del tratamiento de la diversidad cultural por el derecho penal, con especial referencia a la cultura Gitana-</w:t>
      </w:r>
      <w:proofErr w:type="spellStart"/>
      <w:r w:rsidRPr="0095533F">
        <w:rPr>
          <w:rStyle w:val="A1"/>
          <w:rFonts w:ascii="Book Antiqua" w:eastAsia="Times New Roman" w:hAnsi="Book Antiqua" w:cs="Times New Roman"/>
          <w:spacing w:val="0"/>
          <w:sz w:val="24"/>
          <w:szCs w:val="24"/>
        </w:rPr>
        <w:t>Rom</w:t>
      </w:r>
      <w:proofErr w:type="spellEnd"/>
      <w:r w:rsidRPr="0095533F">
        <w:rPr>
          <w:rStyle w:val="A1"/>
          <w:rFonts w:ascii="Book Antiqua" w:eastAsia="Times New Roman" w:hAnsi="Book Antiqua" w:cs="Times New Roman"/>
          <w:spacing w:val="0"/>
          <w:sz w:val="24"/>
          <w:szCs w:val="24"/>
        </w:rPr>
        <w:t xml:space="preserve"> en la provincia de Buenos Aires, a fin de ser puesto a disposición del Defensor Público Oficial</w:t>
      </w:r>
      <w:r w:rsidR="00DF0B57">
        <w:rPr>
          <w:rStyle w:val="A1"/>
          <w:rFonts w:ascii="Book Antiqua" w:eastAsia="Times New Roman" w:hAnsi="Book Antiqua" w:cs="Times New Roman"/>
          <w:spacing w:val="0"/>
          <w:sz w:val="24"/>
          <w:szCs w:val="24"/>
        </w:rPr>
        <w:t xml:space="preserve"> XXXXX XXXX XXXXXXXXX</w:t>
      </w:r>
      <w:r w:rsidRPr="0095533F">
        <w:rPr>
          <w:rStyle w:val="A1"/>
          <w:rFonts w:ascii="Book Antiqua" w:eastAsia="Times New Roman" w:hAnsi="Book Antiqua" w:cs="Times New Roman"/>
          <w:spacing w:val="0"/>
          <w:sz w:val="24"/>
          <w:szCs w:val="24"/>
        </w:rPr>
        <w:t>, a los efectos que estime correspondan, en relación a la pertenencia cultural y étnica</w:t>
      </w:r>
      <w:r w:rsidR="00DF0B57">
        <w:rPr>
          <w:rStyle w:val="A1"/>
          <w:rFonts w:ascii="Book Antiqua" w:eastAsia="Times New Roman" w:hAnsi="Book Antiqua" w:cs="Times New Roman"/>
          <w:spacing w:val="0"/>
          <w:sz w:val="24"/>
          <w:szCs w:val="24"/>
        </w:rPr>
        <w:t xml:space="preserve"> de XXXX XXXXXX</w:t>
      </w:r>
      <w:r w:rsidRPr="0095533F">
        <w:rPr>
          <w:rStyle w:val="A1"/>
          <w:rFonts w:ascii="Book Antiqua" w:eastAsia="Times New Roman" w:hAnsi="Book Antiqua" w:cs="Times New Roman"/>
          <w:spacing w:val="0"/>
          <w:sz w:val="24"/>
          <w:szCs w:val="24"/>
        </w:rPr>
        <w:t>, seguida en orden a presunta infracción a las leyes 22</w:t>
      </w:r>
      <w:r w:rsidR="00012F5E" w:rsidRPr="0095533F">
        <w:rPr>
          <w:rStyle w:val="A1"/>
          <w:rFonts w:ascii="Book Antiqua" w:eastAsia="Times New Roman" w:hAnsi="Book Antiqua" w:cs="Times New Roman"/>
          <w:spacing w:val="0"/>
          <w:sz w:val="24"/>
          <w:szCs w:val="24"/>
        </w:rPr>
        <w:t>.</w:t>
      </w:r>
      <w:r w:rsidRPr="0095533F">
        <w:rPr>
          <w:rStyle w:val="A1"/>
          <w:rFonts w:ascii="Book Antiqua" w:eastAsia="Times New Roman" w:hAnsi="Book Antiqua" w:cs="Times New Roman"/>
          <w:spacing w:val="0"/>
          <w:sz w:val="24"/>
          <w:szCs w:val="24"/>
        </w:rPr>
        <w:t>362 y 11</w:t>
      </w:r>
      <w:r w:rsidR="00012F5E" w:rsidRPr="0095533F">
        <w:rPr>
          <w:rStyle w:val="A1"/>
          <w:rFonts w:ascii="Book Antiqua" w:eastAsia="Times New Roman" w:hAnsi="Book Antiqua" w:cs="Times New Roman"/>
          <w:spacing w:val="0"/>
          <w:sz w:val="24"/>
          <w:szCs w:val="24"/>
        </w:rPr>
        <w:t>.</w:t>
      </w:r>
      <w:r w:rsidRPr="0095533F">
        <w:rPr>
          <w:rStyle w:val="A1"/>
          <w:rFonts w:ascii="Book Antiqua" w:eastAsia="Times New Roman" w:hAnsi="Book Antiqua" w:cs="Times New Roman"/>
          <w:spacing w:val="0"/>
          <w:sz w:val="24"/>
          <w:szCs w:val="24"/>
        </w:rPr>
        <w:t>723.</w:t>
      </w:r>
    </w:p>
    <w:p w:rsidR="00E60ED2" w:rsidRPr="0095533F" w:rsidRDefault="00E60ED2" w:rsidP="003B42CC">
      <w:pPr>
        <w:pStyle w:val="Prrafodelista"/>
        <w:tabs>
          <w:tab w:val="left" w:pos="284"/>
          <w:tab w:val="left" w:pos="851"/>
        </w:tabs>
        <w:spacing w:before="100" w:beforeAutospacing="1" w:after="120"/>
        <w:ind w:left="0" w:firstLine="567"/>
        <w:rPr>
          <w:rStyle w:val="A1"/>
          <w:rFonts w:ascii="Book Antiqua" w:hAnsi="Book Antiqua"/>
          <w:sz w:val="24"/>
          <w:szCs w:val="24"/>
        </w:rPr>
      </w:pPr>
      <w:r w:rsidRPr="0095533F">
        <w:rPr>
          <w:rStyle w:val="A1"/>
          <w:rFonts w:ascii="Book Antiqua" w:hAnsi="Book Antiqua"/>
          <w:sz w:val="24"/>
          <w:szCs w:val="24"/>
        </w:rPr>
        <w:t xml:space="preserve">El presente dictamen fue elaborado con sustento en la trayectoria de trabajo recorrida por el Programa sobre Diversidad Cultural de la Defensoría General de la Nación, cuyo objeto es atender asuntos relativos a los derechos </w:t>
      </w:r>
      <w:proofErr w:type="gramStart"/>
      <w:r w:rsidRPr="0095533F">
        <w:rPr>
          <w:rStyle w:val="A1"/>
          <w:rFonts w:ascii="Book Antiqua" w:hAnsi="Book Antiqua"/>
          <w:sz w:val="24"/>
          <w:szCs w:val="24"/>
        </w:rPr>
        <w:t>de</w:t>
      </w:r>
      <w:proofErr w:type="gramEnd"/>
      <w:r w:rsidRPr="0095533F">
        <w:rPr>
          <w:rStyle w:val="A1"/>
          <w:rFonts w:ascii="Book Antiqua" w:hAnsi="Book Antiqua"/>
          <w:sz w:val="24"/>
          <w:szCs w:val="24"/>
        </w:rPr>
        <w:t xml:space="preserve"> las personas en relación a la diversidad cultural (Res. DGN nro. 1290/2008). También, </w:t>
      </w:r>
      <w:r w:rsidRPr="0095533F">
        <w:rPr>
          <w:rFonts w:ascii="Book Antiqua" w:hAnsi="Book Antiqua"/>
        </w:rPr>
        <w:t>el Programa sobre Diversidad Cultural mantuvo una entrevi</w:t>
      </w:r>
      <w:r w:rsidR="00DF0B57">
        <w:rPr>
          <w:rFonts w:ascii="Book Antiqua" w:hAnsi="Book Antiqua"/>
        </w:rPr>
        <w:t>sta con XXXXXXXX XXXXXX.</w:t>
      </w:r>
    </w:p>
    <w:p w:rsidR="00E60ED2" w:rsidRPr="0095533F" w:rsidRDefault="00012F5E" w:rsidP="003B42CC">
      <w:pPr>
        <w:spacing w:before="100" w:beforeAutospacing="1" w:after="120"/>
        <w:ind w:firstLine="567"/>
        <w:contextualSpacing/>
        <w:rPr>
          <w:rStyle w:val="A1"/>
          <w:rFonts w:ascii="Book Antiqua" w:hAnsi="Book Antiqua"/>
          <w:sz w:val="24"/>
          <w:szCs w:val="24"/>
        </w:rPr>
      </w:pPr>
      <w:r w:rsidRPr="0095533F">
        <w:rPr>
          <w:rStyle w:val="A1"/>
          <w:rFonts w:ascii="Book Antiqua" w:hAnsi="Book Antiqua"/>
          <w:b/>
          <w:sz w:val="24"/>
          <w:szCs w:val="24"/>
        </w:rPr>
        <w:t>SUMARIO</w:t>
      </w:r>
      <w:r w:rsidRPr="0095533F">
        <w:rPr>
          <w:rStyle w:val="A1"/>
          <w:rFonts w:ascii="Book Antiqua" w:hAnsi="Book Antiqua"/>
          <w:sz w:val="24"/>
          <w:szCs w:val="24"/>
        </w:rPr>
        <w:t>:</w:t>
      </w:r>
      <w:r w:rsidR="00E60ED2" w:rsidRPr="0095533F">
        <w:rPr>
          <w:rFonts w:ascii="Book Antiqua" w:eastAsia="Calibri" w:hAnsi="Book Antiqua"/>
        </w:rPr>
        <w:t xml:space="preserve"> </w:t>
      </w:r>
      <w:r w:rsidRPr="0095533F">
        <w:rPr>
          <w:rFonts w:ascii="Book Antiqua" w:eastAsia="Calibri" w:hAnsi="Book Antiqua"/>
        </w:rPr>
        <w:t>Presentación de</w:t>
      </w:r>
      <w:r w:rsidR="00E60ED2" w:rsidRPr="0095533F">
        <w:rPr>
          <w:rStyle w:val="A1"/>
          <w:rFonts w:ascii="Book Antiqua" w:hAnsi="Book Antiqua"/>
          <w:sz w:val="24"/>
          <w:szCs w:val="24"/>
        </w:rPr>
        <w:t>l Programa de Diversidad Cultural de la Defensoría General de la Nación. Diversidad cultural y derecho penal: principales estándares. La cultura Gitana-</w:t>
      </w:r>
      <w:proofErr w:type="spellStart"/>
      <w:r w:rsidR="00E60ED2" w:rsidRPr="0095533F">
        <w:rPr>
          <w:rStyle w:val="A1"/>
          <w:rFonts w:ascii="Book Antiqua" w:hAnsi="Book Antiqua"/>
          <w:sz w:val="24"/>
          <w:szCs w:val="24"/>
        </w:rPr>
        <w:t>Rom</w:t>
      </w:r>
      <w:proofErr w:type="spellEnd"/>
      <w:r w:rsidR="00E60ED2" w:rsidRPr="0095533F">
        <w:rPr>
          <w:rStyle w:val="A1"/>
          <w:rFonts w:ascii="Book Antiqua" w:hAnsi="Book Antiqua"/>
          <w:sz w:val="24"/>
          <w:szCs w:val="24"/>
        </w:rPr>
        <w:t xml:space="preserve"> en la provincia de Buenos Aires. </w:t>
      </w:r>
      <w:r w:rsidRPr="0095533F">
        <w:rPr>
          <w:rStyle w:val="A1"/>
          <w:rFonts w:ascii="Book Antiqua" w:hAnsi="Book Antiqua"/>
          <w:sz w:val="24"/>
          <w:szCs w:val="24"/>
        </w:rPr>
        <w:t>L</w:t>
      </w:r>
      <w:r w:rsidR="00E60ED2" w:rsidRPr="0095533F">
        <w:rPr>
          <w:rStyle w:val="A1"/>
          <w:rFonts w:ascii="Book Antiqua" w:hAnsi="Book Antiqua"/>
          <w:sz w:val="24"/>
          <w:szCs w:val="24"/>
        </w:rPr>
        <w:t>a situación de discriminación estructural contra las personas pertenecientes a la cultura Gitana-</w:t>
      </w:r>
      <w:proofErr w:type="spellStart"/>
      <w:r w:rsidR="00E60ED2" w:rsidRPr="0095533F">
        <w:rPr>
          <w:rStyle w:val="A1"/>
          <w:rFonts w:ascii="Book Antiqua" w:hAnsi="Book Antiqua"/>
          <w:sz w:val="24"/>
          <w:szCs w:val="24"/>
        </w:rPr>
        <w:t>Rom</w:t>
      </w:r>
      <w:proofErr w:type="spellEnd"/>
      <w:r w:rsidR="00E60ED2" w:rsidRPr="0095533F">
        <w:rPr>
          <w:rStyle w:val="A1"/>
          <w:rFonts w:ascii="Book Antiqua" w:hAnsi="Book Antiqua"/>
          <w:sz w:val="24"/>
          <w:szCs w:val="24"/>
        </w:rPr>
        <w:t xml:space="preserve">. </w:t>
      </w:r>
      <w:r w:rsidRPr="0095533F">
        <w:rPr>
          <w:rStyle w:val="A1"/>
          <w:rFonts w:ascii="Book Antiqua" w:hAnsi="Book Antiqua"/>
          <w:sz w:val="24"/>
          <w:szCs w:val="24"/>
        </w:rPr>
        <w:t>E</w:t>
      </w:r>
      <w:r w:rsidR="00E60ED2" w:rsidRPr="0095533F">
        <w:rPr>
          <w:rStyle w:val="A1"/>
          <w:rFonts w:ascii="Book Antiqua" w:hAnsi="Book Antiqua"/>
          <w:sz w:val="24"/>
          <w:szCs w:val="24"/>
        </w:rPr>
        <w:t>l condicionamiento cultural para la comprensión valorativa y normativa. La diversidad cultural y las medidas alternativas a la pena de prisión. Entrevista oral mantenida</w:t>
      </w:r>
      <w:r w:rsidR="00DF0B57">
        <w:rPr>
          <w:rStyle w:val="A1"/>
          <w:rFonts w:ascii="Book Antiqua" w:hAnsi="Book Antiqua"/>
          <w:sz w:val="24"/>
          <w:szCs w:val="24"/>
        </w:rPr>
        <w:t xml:space="preserve"> con XXXX XXXXX</w:t>
      </w:r>
      <w:r w:rsidR="00E60ED2" w:rsidRPr="0095533F">
        <w:rPr>
          <w:rStyle w:val="A1"/>
          <w:rFonts w:ascii="Book Antiqua" w:hAnsi="Book Antiqua"/>
          <w:sz w:val="24"/>
          <w:szCs w:val="24"/>
        </w:rPr>
        <w:t>. Breve análisis antropológico. Conclusiones</w:t>
      </w:r>
      <w:r w:rsidR="007154EE" w:rsidRPr="0095533F">
        <w:rPr>
          <w:rStyle w:val="A1"/>
          <w:rFonts w:ascii="Book Antiqua" w:hAnsi="Book Antiqua"/>
          <w:sz w:val="24"/>
          <w:szCs w:val="24"/>
        </w:rPr>
        <w:t xml:space="preserve">. </w:t>
      </w:r>
    </w:p>
    <w:p w:rsidR="00E60ED2" w:rsidRPr="0095533F" w:rsidRDefault="00E60ED2" w:rsidP="003B42CC">
      <w:pPr>
        <w:pStyle w:val="Prrafodelista"/>
        <w:numPr>
          <w:ilvl w:val="0"/>
          <w:numId w:val="1"/>
        </w:numPr>
        <w:tabs>
          <w:tab w:val="left" w:pos="284"/>
          <w:tab w:val="left" w:pos="851"/>
        </w:tabs>
        <w:spacing w:before="100" w:beforeAutospacing="1" w:after="120"/>
        <w:ind w:left="0" w:firstLine="567"/>
        <w:rPr>
          <w:rStyle w:val="A1"/>
          <w:rFonts w:ascii="Book Antiqua" w:eastAsia="Calibri" w:hAnsi="Book Antiqua"/>
          <w:b/>
          <w:sz w:val="24"/>
          <w:szCs w:val="24"/>
          <w:u w:val="single"/>
        </w:rPr>
      </w:pPr>
      <w:r w:rsidRPr="0095533F">
        <w:rPr>
          <w:rStyle w:val="A1"/>
          <w:rFonts w:ascii="Book Antiqua" w:eastAsia="Calibri" w:hAnsi="Book Antiqua"/>
          <w:b/>
          <w:sz w:val="24"/>
          <w:szCs w:val="24"/>
          <w:u w:val="single"/>
        </w:rPr>
        <w:t>El Programa de Diversidad Cultural de la Defensoría General de la Nación.</w:t>
      </w:r>
    </w:p>
    <w:p w:rsidR="00E60ED2" w:rsidRPr="0095533F" w:rsidRDefault="00E60ED2" w:rsidP="003B42CC">
      <w:pPr>
        <w:spacing w:before="100" w:beforeAutospacing="1" w:after="120"/>
        <w:ind w:firstLine="567"/>
        <w:contextualSpacing/>
        <w:rPr>
          <w:rStyle w:val="A1"/>
          <w:rFonts w:ascii="Book Antiqua" w:eastAsia="Calibri" w:hAnsi="Book Antiqua"/>
          <w:sz w:val="24"/>
          <w:szCs w:val="24"/>
        </w:rPr>
      </w:pPr>
      <w:r w:rsidRPr="0095533F">
        <w:rPr>
          <w:rStyle w:val="A1"/>
          <w:rFonts w:ascii="Book Antiqua" w:eastAsia="Calibri" w:hAnsi="Book Antiqua"/>
          <w:sz w:val="24"/>
          <w:szCs w:val="24"/>
        </w:rPr>
        <w:t xml:space="preserve">El Programa sobre Diversidad Cultural (PSDC en adelante) fue creado mediante la resolución DGN 1290/2008, con el principal objetivo promover actividades orientadas a la defensa y protección de la diversidad cultural, </w:t>
      </w:r>
      <w:r w:rsidRPr="0095533F">
        <w:rPr>
          <w:rStyle w:val="A1"/>
          <w:rFonts w:ascii="Book Antiqua" w:eastAsia="Calibri" w:hAnsi="Book Antiqua"/>
          <w:sz w:val="24"/>
          <w:szCs w:val="24"/>
        </w:rPr>
        <w:lastRenderedPageBreak/>
        <w:t xml:space="preserve">brindando apoyo a los integrantes del Ministerio Público de la Defensa. Ello, en coordinación con otros programas y comisiones de la Defensoría General, en la elaboración de estrategias y proyectos de colaboración y coordinación de actividades para brindar información, consulta, derivación y asistencia que actúe coadyuvando con los defensores públicos oficiales del país e integrando a otras instituciones nacionales e internacionales vinculadas con la problemática. </w:t>
      </w:r>
    </w:p>
    <w:p w:rsidR="00E60ED2" w:rsidRPr="0095533F" w:rsidRDefault="00E60ED2" w:rsidP="003B42CC">
      <w:pPr>
        <w:pStyle w:val="Prrafodelista"/>
        <w:numPr>
          <w:ilvl w:val="0"/>
          <w:numId w:val="1"/>
        </w:numPr>
        <w:spacing w:before="100" w:beforeAutospacing="1" w:after="120"/>
        <w:ind w:left="0" w:firstLine="567"/>
        <w:rPr>
          <w:rStyle w:val="A1"/>
          <w:rFonts w:ascii="Book Antiqua" w:eastAsia="Calibri" w:hAnsi="Book Antiqua"/>
          <w:b/>
          <w:sz w:val="24"/>
          <w:szCs w:val="24"/>
          <w:u w:val="single"/>
        </w:rPr>
      </w:pPr>
      <w:r w:rsidRPr="0095533F">
        <w:rPr>
          <w:rStyle w:val="A1"/>
          <w:rFonts w:ascii="Book Antiqua" w:eastAsia="Calibri" w:hAnsi="Book Antiqua"/>
          <w:b/>
          <w:sz w:val="24"/>
          <w:szCs w:val="24"/>
          <w:u w:val="single"/>
        </w:rPr>
        <w:t>Diversidad cultural y derecho penal: principales estándares.</w:t>
      </w:r>
    </w:p>
    <w:p w:rsidR="00E60ED2" w:rsidRPr="0095533F" w:rsidRDefault="00E60ED2" w:rsidP="003B42CC">
      <w:pPr>
        <w:pStyle w:val="Prrafodelista"/>
        <w:numPr>
          <w:ilvl w:val="1"/>
          <w:numId w:val="2"/>
        </w:numPr>
        <w:spacing w:before="100" w:beforeAutospacing="1" w:after="120"/>
        <w:ind w:left="0" w:firstLine="567"/>
        <w:rPr>
          <w:rFonts w:ascii="Book Antiqua" w:hAnsi="Book Antiqua"/>
          <w:b/>
        </w:rPr>
      </w:pPr>
      <w:r w:rsidRPr="0095533F">
        <w:rPr>
          <w:rFonts w:ascii="Book Antiqua" w:hAnsi="Book Antiqua"/>
          <w:b/>
        </w:rPr>
        <w:t>El deber de considerar la situación de vulnerabilidad de las personas frente al proceso penal como principio general de orden público.</w:t>
      </w:r>
    </w:p>
    <w:p w:rsidR="00E60ED2" w:rsidRPr="0095533F" w:rsidRDefault="00E60ED2" w:rsidP="003B42CC">
      <w:pPr>
        <w:pStyle w:val="Default"/>
        <w:spacing w:before="100" w:beforeAutospacing="1" w:after="120" w:line="360" w:lineRule="auto"/>
        <w:ind w:firstLine="567"/>
        <w:contextualSpacing/>
        <w:jc w:val="both"/>
        <w:rPr>
          <w:rFonts w:ascii="Book Antiqua" w:hAnsi="Book Antiqua" w:cs="DDKAMK+Arial"/>
        </w:rPr>
      </w:pPr>
      <w:r w:rsidRPr="0095533F">
        <w:rPr>
          <w:rFonts w:ascii="Book Antiqua" w:hAnsi="Book Antiqua" w:cs="DDKAMK+Arial"/>
        </w:rPr>
        <w:t>El acceso a la justicia es un derecho humano fundamental consistente en las posibilidades de las personas de obtener una respuesta satisfactoria a sus necesidades jurídicas</w:t>
      </w:r>
      <w:r w:rsidRPr="0095533F">
        <w:rPr>
          <w:rStyle w:val="Refdenotaalpie"/>
          <w:rFonts w:ascii="Book Antiqua" w:hAnsi="Book Antiqua"/>
          <w:i/>
          <w:lang w:eastAsia="en-US"/>
        </w:rPr>
        <w:footnoteReference w:id="1"/>
      </w:r>
      <w:r w:rsidRPr="0095533F">
        <w:rPr>
          <w:rFonts w:ascii="Book Antiqua" w:hAnsi="Book Antiqua" w:cs="DDKAMK+Arial"/>
        </w:rPr>
        <w:t>. Este derecho representa un pilar fundamental del sistema normativo nacional en tanto es expresión en el ámbito de la administración de justicia del principio constitucional de igualdad ante la ley y no discriminación. El Estado debe organizarse de manera que todos los individuos puedan acceder no sólo a los recursos judiciales sino que encuentren una respuesta adecuada ante la autoridad jurisdiccional que corresponda. La Constitución Nacional en su artículo 18, y los instrumentos internacionales sobre derechos humanos con jerarquía constitucional (por vía del art. 75 inc. 22 de la CN) garantizan expresamente el derecho a un recurso efectivo para reclamar el goce efectivo de los derechos y el acceso a la justicia con igualdad.</w:t>
      </w:r>
    </w:p>
    <w:p w:rsidR="00E60ED2" w:rsidRPr="0095533F" w:rsidRDefault="00E60ED2" w:rsidP="003B42CC">
      <w:pPr>
        <w:pStyle w:val="Default"/>
        <w:spacing w:before="100" w:beforeAutospacing="1" w:after="120" w:line="360" w:lineRule="auto"/>
        <w:ind w:firstLine="567"/>
        <w:contextualSpacing/>
        <w:jc w:val="both"/>
        <w:rPr>
          <w:rFonts w:ascii="Book Antiqua" w:hAnsi="Book Antiqua" w:cs="DDKAMK+Arial"/>
        </w:rPr>
      </w:pPr>
      <w:r w:rsidRPr="0095533F">
        <w:rPr>
          <w:rFonts w:ascii="Book Antiqua" w:hAnsi="Book Antiqua" w:cs="DDKAMK+Arial"/>
        </w:rPr>
        <w:t xml:space="preserve">Este reconocimiento implica la existencia de obligaciones estatales positivas para hacerlo efectivo debido a que, de lo contrario, se incurriría en responsabilidad internacional ante el sistema interamericano o universal de derechos humanos. </w:t>
      </w:r>
    </w:p>
    <w:p w:rsidR="00E60ED2" w:rsidRPr="0095533F" w:rsidRDefault="00E60ED2" w:rsidP="003B42CC">
      <w:pPr>
        <w:pStyle w:val="Default"/>
        <w:spacing w:before="100" w:beforeAutospacing="1" w:after="120" w:line="360" w:lineRule="auto"/>
        <w:ind w:firstLine="567"/>
        <w:contextualSpacing/>
        <w:jc w:val="both"/>
        <w:rPr>
          <w:rFonts w:ascii="Book Antiqua" w:hAnsi="Book Antiqua" w:cs="DDKAMK+Arial"/>
        </w:rPr>
      </w:pPr>
      <w:r w:rsidRPr="0095533F">
        <w:rPr>
          <w:rFonts w:ascii="Book Antiqua" w:hAnsi="Book Antiqua" w:cs="DDKAMK+Arial"/>
        </w:rPr>
        <w:t xml:space="preserve">Las 100 Reglas de Brasilia sobre Acceso a la Justicia de las Personas en Condición de Vulnerabilidad establecen parámetros generales para garantizar las condiciones de acceso efectivo a la justicia de las personas que por razón de su edad, </w:t>
      </w:r>
      <w:r w:rsidRPr="0095533F">
        <w:rPr>
          <w:rFonts w:ascii="Book Antiqua" w:hAnsi="Book Antiqua" w:cs="DDKAMK+Arial"/>
        </w:rPr>
        <w:lastRenderedPageBreak/>
        <w:t>género, y por circunstancias étnicas y/o culturales encuentran especiales dificultades para ejercitar con plenitud sus derechos ante el sistema de justicia.</w:t>
      </w:r>
    </w:p>
    <w:p w:rsidR="00E60ED2" w:rsidRPr="0095533F" w:rsidRDefault="00E60ED2" w:rsidP="003B42CC">
      <w:pPr>
        <w:pStyle w:val="Default"/>
        <w:spacing w:before="100" w:beforeAutospacing="1" w:after="120" w:line="360" w:lineRule="auto"/>
        <w:ind w:firstLine="567"/>
        <w:contextualSpacing/>
        <w:jc w:val="both"/>
        <w:rPr>
          <w:rFonts w:ascii="Book Antiqua" w:hAnsi="Book Antiqua" w:cs="DDKAMK+Arial"/>
        </w:rPr>
      </w:pPr>
      <w:r w:rsidRPr="0095533F">
        <w:rPr>
          <w:rFonts w:ascii="Book Antiqua" w:hAnsi="Book Antiqua" w:cs="DDKAMK+Arial"/>
        </w:rPr>
        <w:t>Según las 100 Reglas de Brasilia se consideran en condición de vulnerabilidad aquellas personas que, por razón de su edad, género, estado físico o mental, o por circunstancias sociales, económicas, étnicas y/o culturales, encuentran especiales dificultades para ejercitar con plenitud ante el sistema de justicia los derechos reconocidos por el ordenamiento jurídico. Entre las causas de vulnerabilidad, indica entre otras, las siguientes:</w:t>
      </w:r>
      <w:r w:rsidRPr="0095533F">
        <w:rPr>
          <w:rFonts w:ascii="Book Antiqua" w:hAnsi="Book Antiqua" w:cs="DDKAMK+Arial"/>
          <w:i/>
        </w:rPr>
        <w:t xml:space="preserve"> la edad, la discapacidad, la pertenencia a comunidades indígenas o a </w:t>
      </w:r>
      <w:r w:rsidRPr="0095533F">
        <w:rPr>
          <w:rFonts w:ascii="Book Antiqua" w:hAnsi="Book Antiqua" w:cs="DDKAMK+Arial"/>
          <w:b/>
          <w:i/>
        </w:rPr>
        <w:t>minorías</w:t>
      </w:r>
      <w:r w:rsidRPr="0095533F">
        <w:rPr>
          <w:rFonts w:ascii="Book Antiqua" w:hAnsi="Book Antiqua" w:cs="DDKAMK+Arial"/>
          <w:i/>
        </w:rPr>
        <w:t xml:space="preserve">, la victimización, la migración y el desplazamiento interno, la pobreza, el </w:t>
      </w:r>
      <w:r w:rsidRPr="0095533F">
        <w:rPr>
          <w:rFonts w:ascii="Book Antiqua" w:hAnsi="Book Antiqua" w:cs="DDKAMK+Arial"/>
          <w:b/>
          <w:i/>
        </w:rPr>
        <w:t>género</w:t>
      </w:r>
      <w:r w:rsidRPr="0095533F">
        <w:rPr>
          <w:rFonts w:ascii="Book Antiqua" w:hAnsi="Book Antiqua" w:cs="DDKAMK+Arial"/>
          <w:i/>
        </w:rPr>
        <w:t xml:space="preserve"> y la privación de libertad. La concreta determinación de las personas en condición de vulnerabilidad en cada país dependerá de sus características específicas, o incluso de su nivel de desarrollo social y económico”</w:t>
      </w:r>
      <w:r w:rsidRPr="0095533F">
        <w:rPr>
          <w:rFonts w:ascii="Book Antiqua" w:hAnsi="Book Antiqua" w:cs="DDKAMK+Arial"/>
        </w:rPr>
        <w:t xml:space="preserve"> (4).</w:t>
      </w:r>
    </w:p>
    <w:p w:rsidR="00E60ED2" w:rsidRPr="0095533F" w:rsidRDefault="00E60ED2" w:rsidP="003B42CC">
      <w:pPr>
        <w:pStyle w:val="Default"/>
        <w:spacing w:before="100" w:beforeAutospacing="1" w:after="120" w:line="360" w:lineRule="auto"/>
        <w:ind w:firstLine="567"/>
        <w:contextualSpacing/>
        <w:jc w:val="both"/>
        <w:rPr>
          <w:rFonts w:ascii="Book Antiqua" w:hAnsi="Book Antiqua" w:cs="DDKAMK+Arial"/>
        </w:rPr>
      </w:pPr>
      <w:r w:rsidRPr="0095533F">
        <w:rPr>
          <w:rFonts w:ascii="Book Antiqua" w:hAnsi="Book Antiqua" w:cs="DDKAMK+Arial"/>
        </w:rPr>
        <w:t xml:space="preserve">Las mujeres pertenecientes a alguna de las minorías culturales y en situación de pobreza, son portadoras de una potencial múltiple condición de vulnerabilidad. Esto genera en el operador judicial, en particular en los jueces y fiscales, la obligación de evaluar en forma estricta los efectos de esa especial condición de vulnerabilidad para descartar que no funcione como atenuante o causa de absolución del hecho penalmente atribuido, con el fin de procurar una tutela judicial efectiva. Por eso, en las Reglas de Brasilia se señala que </w:t>
      </w:r>
      <w:r w:rsidRPr="0095533F">
        <w:rPr>
          <w:rFonts w:ascii="Book Antiqua" w:hAnsi="Book Antiqua" w:cs="DDKAMK+Arial"/>
          <w:i/>
        </w:rPr>
        <w:t>“se promoverán las condiciones necesarias para que la tutela judicial de los derechos reconocidos por el ordenamiento sea efectiva, adoptando aquellas medidas que mejor se adapten a cada condición de vulnerabilidad”</w:t>
      </w:r>
      <w:r w:rsidRPr="0095533F">
        <w:rPr>
          <w:rFonts w:ascii="Book Antiqua" w:hAnsi="Book Antiqua" w:cs="DDKAMK+Arial"/>
        </w:rPr>
        <w:t xml:space="preserve"> (25).</w:t>
      </w:r>
    </w:p>
    <w:p w:rsidR="00E60ED2" w:rsidRPr="0095533F" w:rsidRDefault="00E60ED2" w:rsidP="003B42CC">
      <w:pPr>
        <w:pStyle w:val="Default"/>
        <w:spacing w:before="100" w:beforeAutospacing="1" w:after="120" w:line="360" w:lineRule="auto"/>
        <w:ind w:firstLine="567"/>
        <w:contextualSpacing/>
        <w:jc w:val="both"/>
        <w:rPr>
          <w:rFonts w:ascii="Book Antiqua" w:hAnsi="Book Antiqua" w:cs="DDKAMK+Arial"/>
        </w:rPr>
      </w:pPr>
      <w:r w:rsidRPr="0095533F">
        <w:rPr>
          <w:rFonts w:ascii="Book Antiqua" w:hAnsi="Book Antiqua" w:cs="DDKAMK+Arial"/>
        </w:rPr>
        <w:t xml:space="preserve">El Comité para la Eliminación de la Discriminación contra la Mujer ha expresado que las mujeres pertenecientes a algunos grupos, además de sufrir discriminación por el hecho de ser mujeres, también pueden ser objeto de múltiples formas de discriminación por otras razones, como la raza y el origen étnico, por ejemplo. En consonancia con ello, recomendó a los Estados Partes que adopten medidas especiales de carácter temporal para eliminar esas diversas formas de discriminación múltiple contra la mujer y las consecuencias negativas y complejas que tiene (Comité para la Eliminación de la Discriminación contra la Mujer. Recomendación General Nº 25 (párrafo 1 del artículo 4 de la Convención sobre la eliminación de todas las formas de </w:t>
      </w:r>
      <w:r w:rsidRPr="0095533F">
        <w:rPr>
          <w:rFonts w:ascii="Book Antiqua" w:hAnsi="Book Antiqua" w:cs="DDKAMK+Arial"/>
        </w:rPr>
        <w:lastRenderedPageBreak/>
        <w:t xml:space="preserve">discriminación contra la mujer. Medidas especiales de carácter temporal, párr. 12). En consecuencia, el Comité instó a los Estados a evaluar y vigilar la discriminación racial de las mujeres, así como las desventajas, obstáculos y dificultades por motivos de raza, color, linaje u origen nacional o étnico con que tropiezan para ejercer y disfrutar plenamente de sus derechos civiles, políticos, económicos, sociales y culturales (Comité contra la Eliminación de la Discriminación Racial. Recomendación general Nº XXV </w:t>
      </w:r>
      <w:proofErr w:type="gramStart"/>
      <w:r w:rsidRPr="0095533F">
        <w:rPr>
          <w:rFonts w:ascii="Book Antiqua" w:hAnsi="Book Antiqua" w:cs="DDKAMK+Arial"/>
        </w:rPr>
        <w:t>relativa</w:t>
      </w:r>
      <w:proofErr w:type="gramEnd"/>
      <w:r w:rsidRPr="0095533F">
        <w:rPr>
          <w:rFonts w:ascii="Book Antiqua" w:hAnsi="Book Antiqua" w:cs="DDKAMK+Arial"/>
        </w:rPr>
        <w:t xml:space="preserve"> a las dimensiones de la discriminación racial relacionadas con el género. 56º período de sesiones, 2000). </w:t>
      </w:r>
    </w:p>
    <w:p w:rsidR="00E60ED2" w:rsidRPr="0095533F" w:rsidRDefault="00E60ED2" w:rsidP="003B42CC">
      <w:pPr>
        <w:pStyle w:val="Default"/>
        <w:spacing w:before="100" w:beforeAutospacing="1" w:after="120" w:line="360" w:lineRule="auto"/>
        <w:ind w:firstLine="567"/>
        <w:contextualSpacing/>
        <w:jc w:val="both"/>
        <w:rPr>
          <w:rFonts w:ascii="Book Antiqua" w:hAnsi="Book Antiqua" w:cs="DDKAMK+Arial"/>
        </w:rPr>
      </w:pPr>
      <w:r w:rsidRPr="0095533F">
        <w:rPr>
          <w:rFonts w:ascii="Book Antiqua" w:hAnsi="Book Antiqua" w:cs="DDKAMK+Arial"/>
        </w:rPr>
        <w:t>Todas las recomendaciones alcanzan también a los operadores judiciales quienes están obligados a adecuar su actuación a los parámetros allí establecidos, bajo riesgo de afectar el bloque de constitucionalidad existente como la responsabilidad internacional del país.</w:t>
      </w:r>
    </w:p>
    <w:p w:rsidR="00E60ED2" w:rsidRPr="0095533F" w:rsidRDefault="00E60ED2" w:rsidP="003B42CC">
      <w:pPr>
        <w:pStyle w:val="Prrafodelista"/>
        <w:numPr>
          <w:ilvl w:val="1"/>
          <w:numId w:val="2"/>
        </w:numPr>
        <w:spacing w:before="100" w:beforeAutospacing="1" w:after="120"/>
        <w:ind w:left="0" w:firstLine="567"/>
        <w:rPr>
          <w:rFonts w:ascii="Book Antiqua" w:hAnsi="Book Antiqua"/>
          <w:b/>
        </w:rPr>
      </w:pPr>
      <w:r w:rsidRPr="0095533F">
        <w:rPr>
          <w:rFonts w:ascii="Book Antiqua" w:hAnsi="Book Antiqua"/>
          <w:b/>
        </w:rPr>
        <w:t>El deber de considerar las especificidades culturales y étnicas en el proceso penal como principio general de orden público.</w:t>
      </w:r>
    </w:p>
    <w:p w:rsidR="00E60ED2" w:rsidRPr="0095533F" w:rsidRDefault="00E60ED2" w:rsidP="003B42CC">
      <w:pPr>
        <w:pStyle w:val="Default"/>
        <w:spacing w:before="100" w:beforeAutospacing="1" w:after="120" w:line="360" w:lineRule="auto"/>
        <w:ind w:firstLine="567"/>
        <w:contextualSpacing/>
        <w:jc w:val="both"/>
        <w:rPr>
          <w:rFonts w:ascii="Book Antiqua" w:hAnsi="Book Antiqua" w:cs="DDKAMK+Arial"/>
        </w:rPr>
      </w:pPr>
      <w:r w:rsidRPr="0095533F">
        <w:rPr>
          <w:rFonts w:ascii="Book Antiqua" w:hAnsi="Book Antiqua" w:cs="DDKAMK+Arial"/>
        </w:rPr>
        <w:t xml:space="preserve">El principio de considerar las especificidades culturales y étnicas para el acceso a la justicia es un deber por parte de los juzgadores y tiene sustento constitucional en los artículos 16 y 75 </w:t>
      </w:r>
      <w:proofErr w:type="spellStart"/>
      <w:r w:rsidRPr="0095533F">
        <w:rPr>
          <w:rFonts w:ascii="Book Antiqua" w:hAnsi="Book Antiqua" w:cs="DDKAMK+Arial"/>
        </w:rPr>
        <w:t>incs</w:t>
      </w:r>
      <w:proofErr w:type="spellEnd"/>
      <w:r w:rsidRPr="0095533F">
        <w:rPr>
          <w:rFonts w:ascii="Book Antiqua" w:hAnsi="Book Antiqua" w:cs="DDKAMK+Arial"/>
        </w:rPr>
        <w:t xml:space="preserve">. 17 y 19 de la Constitución Nacional y, en el ámbito internacional, en el Convenio 169 de la Organización Internacional del Trabajo (artículos 8, 9 y 12), en la Declaración de Naciones Unidas sobre los Derechos de los Pueblos Indígenas (artículos 13 y 40) y en el artículo 8 de la Convención Americana sobre Derechos Humanos. Se trata de cumplir con la </w:t>
      </w:r>
      <w:r w:rsidRPr="0095533F">
        <w:rPr>
          <w:rFonts w:ascii="Book Antiqua" w:hAnsi="Book Antiqua" w:cs="DDKAMK+Arial"/>
          <w:b/>
        </w:rPr>
        <w:t>obligación judicial de garantizar el pleno acceso a la justicia de un modo culturalmente adecuado</w:t>
      </w:r>
      <w:r w:rsidRPr="0095533F">
        <w:rPr>
          <w:rFonts w:ascii="Book Antiqua" w:hAnsi="Book Antiqua" w:cs="DDKAMK+Arial"/>
        </w:rPr>
        <w:t>.</w:t>
      </w:r>
    </w:p>
    <w:p w:rsidR="00E60ED2" w:rsidRPr="0095533F" w:rsidRDefault="00E60ED2" w:rsidP="003B42CC">
      <w:pPr>
        <w:autoSpaceDE w:val="0"/>
        <w:autoSpaceDN w:val="0"/>
        <w:adjustRightInd w:val="0"/>
        <w:spacing w:before="100" w:beforeAutospacing="1" w:after="120"/>
        <w:ind w:firstLine="567"/>
        <w:contextualSpacing/>
        <w:rPr>
          <w:rFonts w:ascii="Book Antiqua" w:hAnsi="Book Antiqua" w:cs="DDKAMK+Arial"/>
          <w:color w:val="000000"/>
        </w:rPr>
      </w:pPr>
      <w:r w:rsidRPr="0095533F">
        <w:rPr>
          <w:rFonts w:ascii="Book Antiqua" w:hAnsi="Book Antiqua" w:cs="DDKAMK+Arial"/>
        </w:rPr>
        <w:t>Este principio es derivación del derecho a la igualdad, a la no discriminación y al respeto a la diversidad cultural y étnica, y consagra un</w:t>
      </w:r>
      <w:r w:rsidRPr="0095533F">
        <w:rPr>
          <w:rFonts w:ascii="Book Antiqua" w:hAnsi="Book Antiqua" w:cs="DDKAMK+Arial"/>
          <w:color w:val="000000"/>
        </w:rPr>
        <w:t xml:space="preserve"> ejercicio de la jurisdicción penal con perspectiva intercultural</w:t>
      </w:r>
      <w:r w:rsidRPr="0095533F">
        <w:rPr>
          <w:rFonts w:ascii="Book Antiqua" w:hAnsi="Book Antiqua" w:cs="DDKAMK+Arial"/>
        </w:rPr>
        <w:t>, en razón de la pertenencia étnica de las personas sometidas a proceso. Su carácter es de orden público constitucional y del sistema interamericano de derechos humanos, por lo que los juzgadores tienen la obligación de cuenta para interpretar el derecho, o interpretar normativamente situaciones de hecho y juzgar conductas pasibles de reproche penal</w:t>
      </w:r>
      <w:r w:rsidRPr="0095533F">
        <w:rPr>
          <w:rFonts w:ascii="Book Antiqua" w:hAnsi="Book Antiqua" w:cs="DDKAMK+Arial"/>
          <w:color w:val="000000"/>
        </w:rPr>
        <w:t>.</w:t>
      </w:r>
    </w:p>
    <w:p w:rsidR="00E60ED2" w:rsidRPr="0095533F" w:rsidRDefault="00E60ED2" w:rsidP="003B42CC">
      <w:pPr>
        <w:autoSpaceDE w:val="0"/>
        <w:autoSpaceDN w:val="0"/>
        <w:adjustRightInd w:val="0"/>
        <w:spacing w:before="100" w:beforeAutospacing="1" w:after="120"/>
        <w:ind w:firstLine="567"/>
        <w:contextualSpacing/>
        <w:rPr>
          <w:rFonts w:ascii="Book Antiqua" w:hAnsi="Book Antiqua" w:cs="DDKAMK+Arial"/>
          <w:color w:val="000000"/>
        </w:rPr>
      </w:pPr>
      <w:r w:rsidRPr="0095533F">
        <w:rPr>
          <w:rFonts w:ascii="Book Antiqua" w:hAnsi="Book Antiqua" w:cs="DDKAMK+Arial"/>
          <w:color w:val="000000"/>
        </w:rPr>
        <w:t xml:space="preserve">En los casos judiciales en que se encuentren involucradas personas indígenas o pertenecientes a minorías étnicas o culturales, constituye un principio de orden </w:t>
      </w:r>
      <w:r w:rsidRPr="0095533F">
        <w:rPr>
          <w:rFonts w:ascii="Book Antiqua" w:hAnsi="Book Antiqua" w:cs="DDKAMK+Arial"/>
          <w:color w:val="000000"/>
        </w:rPr>
        <w:lastRenderedPageBreak/>
        <w:t>público la obligación de considerar las especificidades culturales relevantes para ser tenidas en cuenta para adoptar decisiones por parte de los jueces. Este principio adquiere especial importancia en los procesos penales,</w:t>
      </w:r>
      <w:r w:rsidRPr="0095533F">
        <w:rPr>
          <w:rFonts w:ascii="Book Antiqua" w:hAnsi="Book Antiqua" w:cs="DDKAMK+Arial"/>
          <w:b/>
          <w:color w:val="000000"/>
        </w:rPr>
        <w:t xml:space="preserve"> en ocasión de determinar responsabilidades y descartar o confirmar que las especificidades culturales pudieron haber sido un factor de atenuación o liberación, por lo que el respeto al debido proceso en estos casos obliga al juzgador y al operador judicial a considerar en forma expresa las consecuencias jurídicas liberatorias o atenuantes derivados de la especificidad cultura</w:t>
      </w:r>
      <w:r w:rsidRPr="0095533F">
        <w:rPr>
          <w:rFonts w:ascii="Book Antiqua" w:hAnsi="Book Antiqua" w:cs="DDKAMK+Arial"/>
          <w:color w:val="000000"/>
        </w:rPr>
        <w:t>l. De lo contrario se afecta de modo fulminante el derecho a la defensa, al debido proceso, a la tutela judicial efectiva y al acceso a la justicia, de acuerdo a lo establecido en los artículos 18 de la Constitución Nacional y 8.1 y 25 de la Convención Americana sobre Derechos Humanos.</w:t>
      </w:r>
    </w:p>
    <w:p w:rsidR="00E60ED2" w:rsidRPr="0095533F" w:rsidRDefault="00E60ED2" w:rsidP="003B42CC">
      <w:pPr>
        <w:autoSpaceDE w:val="0"/>
        <w:autoSpaceDN w:val="0"/>
        <w:adjustRightInd w:val="0"/>
        <w:spacing w:before="100" w:beforeAutospacing="1" w:after="120"/>
        <w:ind w:firstLine="567"/>
        <w:contextualSpacing/>
        <w:rPr>
          <w:rFonts w:ascii="Book Antiqua" w:hAnsi="Book Antiqua" w:cs="DDKAMK+Arial"/>
          <w:color w:val="000000"/>
        </w:rPr>
      </w:pPr>
      <w:r w:rsidRPr="0095533F">
        <w:rPr>
          <w:rFonts w:ascii="Book Antiqua" w:hAnsi="Book Antiqua" w:cs="DDKAMK+Arial"/>
          <w:color w:val="000000"/>
        </w:rPr>
        <w:t xml:space="preserve">En estos casos, el proceso penal debe adecuarse a las disposiciones del Convenio 169 de la OIT, en cuanto en su artículo 9 inc. 2 establece que </w:t>
      </w:r>
      <w:r w:rsidRPr="0095533F">
        <w:rPr>
          <w:rFonts w:ascii="Book Antiqua" w:hAnsi="Book Antiqua" w:cs="DDKAMK+Arial"/>
          <w:i/>
          <w:color w:val="000000"/>
        </w:rPr>
        <w:t>“las autoridades y los tribunales llamados a pronunciarse sobre cuestiones penales deberán tener en cuenta las costumbres”</w:t>
      </w:r>
      <w:r w:rsidRPr="0095533F">
        <w:rPr>
          <w:rFonts w:ascii="Book Antiqua" w:hAnsi="Book Antiqua" w:cs="DDKAMK+Arial"/>
          <w:color w:val="000000"/>
        </w:rPr>
        <w:t xml:space="preserve">, entre las que cabe enunciar principalmente el respeto a la identidad cultural étnica y a la diversidad cultural. </w:t>
      </w:r>
    </w:p>
    <w:p w:rsidR="00E60ED2" w:rsidRPr="0095533F" w:rsidRDefault="00E60ED2" w:rsidP="003B42CC">
      <w:pPr>
        <w:pStyle w:val="Prrafodelista"/>
        <w:numPr>
          <w:ilvl w:val="1"/>
          <w:numId w:val="2"/>
        </w:numPr>
        <w:autoSpaceDE w:val="0"/>
        <w:autoSpaceDN w:val="0"/>
        <w:adjustRightInd w:val="0"/>
        <w:spacing w:before="100" w:beforeAutospacing="1" w:after="120"/>
        <w:ind w:left="0" w:firstLine="567"/>
        <w:rPr>
          <w:rFonts w:ascii="Book Antiqua" w:hAnsi="Book Antiqua" w:cs="DDKAMK+Arial"/>
          <w:b/>
          <w:color w:val="000000"/>
        </w:rPr>
      </w:pPr>
      <w:r w:rsidRPr="0095533F">
        <w:rPr>
          <w:rFonts w:ascii="Book Antiqua" w:hAnsi="Book Antiqua" w:cs="DDKAMK+Arial"/>
          <w:b/>
          <w:color w:val="000000"/>
        </w:rPr>
        <w:t>Soluciones al conflicto penal, con enfoque de diversidad cultural.</w:t>
      </w:r>
    </w:p>
    <w:p w:rsidR="00E60ED2" w:rsidRPr="0095533F" w:rsidRDefault="00E60ED2" w:rsidP="003B42CC">
      <w:pPr>
        <w:autoSpaceDE w:val="0"/>
        <w:autoSpaceDN w:val="0"/>
        <w:adjustRightInd w:val="0"/>
        <w:spacing w:before="100" w:beforeAutospacing="1" w:after="120"/>
        <w:ind w:firstLine="567"/>
        <w:contextualSpacing/>
        <w:rPr>
          <w:rFonts w:ascii="Book Antiqua" w:hAnsi="Book Antiqua" w:cs="DDKAMK+Arial"/>
          <w:color w:val="000000"/>
        </w:rPr>
      </w:pPr>
      <w:r w:rsidRPr="0095533F">
        <w:rPr>
          <w:rFonts w:ascii="Book Antiqua" w:hAnsi="Book Antiqua" w:cs="DDKAMK+Arial"/>
          <w:color w:val="000000"/>
        </w:rPr>
        <w:t xml:space="preserve">La dogmática penal ha abordado, en general, la cuestión penal indígena en el análisis de la inimputabilidad, antijuridicidad y culpabilidad, según la diferente índole de los casos presentados. Dado que el ordenamiento jurídico nacional actualmente vigente carece de normativa expresa que regule el condicionamiento cultural del comportamiento de la persona, la solución ha consistido en recurrir a los principios generales establecidos en el Código Penal, especialmente en el art. 34 </w:t>
      </w:r>
      <w:proofErr w:type="spellStart"/>
      <w:r w:rsidRPr="0095533F">
        <w:rPr>
          <w:rFonts w:ascii="Book Antiqua" w:hAnsi="Book Antiqua" w:cs="DDKAMK+Arial"/>
          <w:color w:val="000000"/>
        </w:rPr>
        <w:t>incs</w:t>
      </w:r>
      <w:proofErr w:type="spellEnd"/>
      <w:r w:rsidRPr="0095533F">
        <w:rPr>
          <w:rFonts w:ascii="Book Antiqua" w:hAnsi="Book Antiqua" w:cs="DDKAMK+Arial"/>
          <w:color w:val="000000"/>
        </w:rPr>
        <w:t xml:space="preserve">. 3º, 4º, 5º, 6º y 7º. Como dice el jurista peruano José Hurtado Pozo, especialista en la materia, </w:t>
      </w:r>
      <w:r w:rsidRPr="0095533F">
        <w:rPr>
          <w:rFonts w:ascii="Book Antiqua" w:hAnsi="Book Antiqua" w:cs="DDKAMK+Arial"/>
          <w:i/>
          <w:color w:val="000000"/>
        </w:rPr>
        <w:t xml:space="preserve">“la aplicación de un ordenamiento jurídico perteneciente a una cultura determinada a personas que pertenecen a un ámbito cultural distinto puede ser difícilmente comprendida y </w:t>
      </w:r>
      <w:r w:rsidRPr="0095533F">
        <w:rPr>
          <w:rFonts w:ascii="Book Antiqua" w:hAnsi="Book Antiqua" w:cs="DDKAMK+Arial"/>
          <w:i/>
          <w:color w:val="000000"/>
        </w:rPr>
        <w:lastRenderedPageBreak/>
        <w:t>explicada sin tener en cuenta factores como, por ejemplo, la pluralidad cultural, el pluralismo jurídico, la ciudadanía cultural, los derechos culturales”</w:t>
      </w:r>
      <w:r w:rsidRPr="0095533F">
        <w:rPr>
          <w:rStyle w:val="Refdenotaalpie"/>
          <w:rFonts w:ascii="Book Antiqua" w:hAnsi="Book Antiqua" w:cs="DDKAMK+Arial"/>
          <w:i/>
        </w:rPr>
        <w:t xml:space="preserve"> </w:t>
      </w:r>
      <w:r w:rsidRPr="0095533F">
        <w:rPr>
          <w:rStyle w:val="Refdenotaalpie"/>
          <w:rFonts w:ascii="Book Antiqua" w:hAnsi="Book Antiqua" w:cs="DDKAMK+Arial"/>
          <w:i/>
        </w:rPr>
        <w:footnoteReference w:id="2"/>
      </w:r>
      <w:r w:rsidRPr="0095533F">
        <w:rPr>
          <w:rFonts w:ascii="Book Antiqua" w:hAnsi="Book Antiqua" w:cs="DDKAMK+Arial"/>
          <w:color w:val="000000"/>
        </w:rPr>
        <w:t>.</w:t>
      </w:r>
    </w:p>
    <w:p w:rsidR="00E60ED2" w:rsidRPr="0095533F" w:rsidRDefault="00E60ED2" w:rsidP="003B42CC">
      <w:pPr>
        <w:autoSpaceDE w:val="0"/>
        <w:autoSpaceDN w:val="0"/>
        <w:adjustRightInd w:val="0"/>
        <w:spacing w:before="100" w:beforeAutospacing="1" w:after="120"/>
        <w:ind w:firstLine="567"/>
        <w:contextualSpacing/>
        <w:rPr>
          <w:rFonts w:ascii="Book Antiqua" w:hAnsi="Book Antiqua" w:cs="DDKAMK+Arial"/>
          <w:color w:val="000000"/>
        </w:rPr>
      </w:pPr>
      <w:r w:rsidRPr="0095533F">
        <w:rPr>
          <w:rFonts w:ascii="Book Antiqua" w:hAnsi="Book Antiqua" w:cs="DDKAMK+Arial"/>
          <w:color w:val="000000"/>
        </w:rPr>
        <w:t xml:space="preserve">En consecuencia, pueden configurarse situaciones de hecho que deriven en causales de inimputabilidad o imputabilidad disminuida, o de justificación o inculpabilidad, desde la especificidad cultural étnica. Por eso, </w:t>
      </w:r>
      <w:r w:rsidRPr="0095533F">
        <w:rPr>
          <w:rFonts w:ascii="Book Antiqua" w:hAnsi="Book Antiqua" w:cs="DDKAMK+Arial"/>
          <w:b/>
          <w:color w:val="000000"/>
        </w:rPr>
        <w:t>entre las respuestas jurídicas más relevantes, se encuentran las del error de comprensión y la inexigibilidad de otra conducta</w:t>
      </w:r>
      <w:r w:rsidRPr="0095533F">
        <w:rPr>
          <w:rFonts w:ascii="Book Antiqua" w:hAnsi="Book Antiqua" w:cs="DDKAMK+Arial"/>
          <w:color w:val="000000"/>
        </w:rPr>
        <w:t>.</w:t>
      </w:r>
    </w:p>
    <w:p w:rsidR="00E60ED2" w:rsidRPr="0095533F" w:rsidRDefault="00E60ED2" w:rsidP="003B42CC">
      <w:pPr>
        <w:autoSpaceDE w:val="0"/>
        <w:autoSpaceDN w:val="0"/>
        <w:adjustRightInd w:val="0"/>
        <w:spacing w:before="100" w:beforeAutospacing="1" w:after="120"/>
        <w:ind w:firstLine="567"/>
        <w:contextualSpacing/>
        <w:rPr>
          <w:rFonts w:ascii="Book Antiqua" w:hAnsi="Book Antiqua" w:cs="DDKAMK+Arial"/>
          <w:color w:val="000000"/>
        </w:rPr>
      </w:pPr>
      <w:r w:rsidRPr="0095533F">
        <w:rPr>
          <w:rFonts w:ascii="Book Antiqua" w:hAnsi="Book Antiqua" w:cs="DDKAMK+Arial"/>
          <w:color w:val="000000"/>
        </w:rPr>
        <w:t xml:space="preserve">Eugenio Raúl </w:t>
      </w:r>
      <w:proofErr w:type="spellStart"/>
      <w:r w:rsidRPr="0095533F">
        <w:rPr>
          <w:rFonts w:ascii="Book Antiqua" w:hAnsi="Book Antiqua" w:cs="DDKAMK+Arial"/>
          <w:color w:val="000000"/>
        </w:rPr>
        <w:t>Zaffaroni</w:t>
      </w:r>
      <w:proofErr w:type="spellEnd"/>
      <w:r w:rsidRPr="0095533F">
        <w:rPr>
          <w:rFonts w:ascii="Book Antiqua" w:hAnsi="Book Antiqua" w:cs="DDKAMK+Arial"/>
          <w:color w:val="000000"/>
        </w:rPr>
        <w:t xml:space="preserve"> ha sostenido que el error de comprensión -especie del error de prohibición- provoca </w:t>
      </w:r>
      <w:r w:rsidRPr="0095533F">
        <w:rPr>
          <w:rFonts w:ascii="Book Antiqua" w:hAnsi="Book Antiqua" w:cs="DDKAMK+Arial"/>
          <w:i/>
          <w:color w:val="000000"/>
        </w:rPr>
        <w:t>“la inexigibilidad de la internalización de la pauta cultural reconocida por el legislador, en razón de un condicionamiento cultural diferente”</w:t>
      </w:r>
      <w:r w:rsidRPr="0095533F">
        <w:rPr>
          <w:rFonts w:ascii="Book Antiqua" w:hAnsi="Book Antiqua" w:cs="DDKAMK+Arial"/>
          <w:color w:val="000000"/>
        </w:rPr>
        <w:t xml:space="preserve"> por la imposibilidad de exigirle al sujeto que </w:t>
      </w:r>
      <w:r w:rsidRPr="0095533F">
        <w:rPr>
          <w:rFonts w:ascii="Book Antiqua" w:hAnsi="Book Antiqua" w:cs="DDKAMK+Arial"/>
          <w:i/>
          <w:color w:val="000000"/>
        </w:rPr>
        <w:t>“incorpore a sus propias pautas de conducta otras diferentes, que responden a una concepción del mundo y de sí mismo por entero distinta”</w:t>
      </w:r>
      <w:r w:rsidRPr="0095533F">
        <w:rPr>
          <w:rStyle w:val="Refdenotaalpie"/>
          <w:rFonts w:ascii="Book Antiqua" w:hAnsi="Book Antiqua" w:cs="DDKAMK+Arial"/>
          <w:i/>
        </w:rPr>
        <w:footnoteReference w:id="3"/>
      </w:r>
      <w:r w:rsidRPr="0095533F">
        <w:rPr>
          <w:rFonts w:ascii="Book Antiqua" w:hAnsi="Book Antiqua" w:cs="DDKAMK+Arial"/>
          <w:color w:val="000000"/>
        </w:rPr>
        <w:t xml:space="preserve"> o bien que </w:t>
      </w:r>
      <w:r w:rsidRPr="0095533F">
        <w:rPr>
          <w:rFonts w:ascii="Book Antiqua" w:hAnsi="Book Antiqua" w:cs="DDKAMK+Arial"/>
          <w:i/>
          <w:color w:val="000000"/>
        </w:rPr>
        <w:t>“el sujeto conoce la norma prohibitiva, pero no puede exigírsele la comprensión de la misma, es decir, su introyección o internalización como parte de su equipo valorativo”</w:t>
      </w:r>
      <w:r w:rsidRPr="0095533F">
        <w:rPr>
          <w:rFonts w:ascii="Book Antiqua" w:hAnsi="Book Antiqua" w:cs="DDKAMK+Arial"/>
          <w:color w:val="000000"/>
        </w:rPr>
        <w:t xml:space="preserve">. </w:t>
      </w:r>
    </w:p>
    <w:p w:rsidR="00E60ED2" w:rsidRPr="0095533F" w:rsidRDefault="00E60ED2" w:rsidP="003B42CC">
      <w:pPr>
        <w:autoSpaceDE w:val="0"/>
        <w:autoSpaceDN w:val="0"/>
        <w:adjustRightInd w:val="0"/>
        <w:spacing w:before="100" w:beforeAutospacing="1" w:after="120"/>
        <w:ind w:firstLine="567"/>
        <w:contextualSpacing/>
        <w:rPr>
          <w:rFonts w:ascii="Book Antiqua" w:hAnsi="Book Antiqua" w:cs="DDKAMK+Arial"/>
          <w:color w:val="000000"/>
        </w:rPr>
      </w:pPr>
      <w:r w:rsidRPr="0095533F">
        <w:rPr>
          <w:rFonts w:ascii="Book Antiqua" w:hAnsi="Book Antiqua" w:cs="DDKAMK+Arial"/>
          <w:color w:val="000000"/>
        </w:rPr>
        <w:t xml:space="preserve">También está el supuesto de quien actúa de acuerdo a las pautas normativas propias de la cultura a la que pertenece, expresando una </w:t>
      </w:r>
      <w:r w:rsidRPr="0095533F">
        <w:rPr>
          <w:rFonts w:ascii="Book Antiqua" w:hAnsi="Book Antiqua" w:cs="DDKAMK+Arial"/>
          <w:i/>
          <w:color w:val="000000"/>
        </w:rPr>
        <w:t>“conciencia disidente”</w:t>
      </w:r>
      <w:r w:rsidRPr="0095533F">
        <w:rPr>
          <w:rFonts w:ascii="Book Antiqua" w:hAnsi="Book Antiqua" w:cs="DDKAMK+Arial"/>
          <w:color w:val="000000"/>
        </w:rPr>
        <w:t xml:space="preserve">, que podría encuadrar </w:t>
      </w:r>
      <w:r w:rsidRPr="0095533F">
        <w:rPr>
          <w:rFonts w:ascii="Book Antiqua" w:hAnsi="Book Antiqua" w:cs="DDKAMK+Arial"/>
          <w:i/>
          <w:color w:val="000000"/>
        </w:rPr>
        <w:t>“en un error de prohibición indirecto en razón de suponer falsamente la existencia de una justificante no reconocida por el derecho”</w:t>
      </w:r>
      <w:r w:rsidRPr="0095533F">
        <w:rPr>
          <w:rStyle w:val="Refdenotaalpie"/>
          <w:rFonts w:ascii="Book Antiqua" w:hAnsi="Book Antiqua" w:cs="DDKAMK+Arial"/>
          <w:i/>
        </w:rPr>
        <w:footnoteReference w:id="4"/>
      </w:r>
      <w:r w:rsidRPr="0095533F">
        <w:rPr>
          <w:rFonts w:ascii="Book Antiqua" w:hAnsi="Book Antiqua" w:cs="DDKAMK+Arial"/>
          <w:color w:val="000000"/>
        </w:rPr>
        <w:t>.</w:t>
      </w:r>
    </w:p>
    <w:p w:rsidR="00E60ED2" w:rsidRPr="0095533F" w:rsidRDefault="00E60ED2" w:rsidP="003B42CC">
      <w:pPr>
        <w:pStyle w:val="Textonotapie"/>
        <w:spacing w:before="100" w:beforeAutospacing="1" w:after="120" w:line="360" w:lineRule="auto"/>
        <w:ind w:firstLine="567"/>
        <w:contextualSpacing/>
        <w:jc w:val="both"/>
        <w:rPr>
          <w:rFonts w:ascii="Book Antiqua" w:hAnsi="Book Antiqua"/>
          <w:sz w:val="24"/>
          <w:szCs w:val="24"/>
        </w:rPr>
      </w:pPr>
      <w:r w:rsidRPr="0095533F">
        <w:rPr>
          <w:rFonts w:ascii="Book Antiqua" w:hAnsi="Book Antiqua" w:cs="DDKAMK+Arial"/>
          <w:color w:val="000000"/>
          <w:sz w:val="24"/>
          <w:szCs w:val="24"/>
        </w:rPr>
        <w:t>En la jurisprudencia interamericana de derechos humanos, más precisamente en el caso</w:t>
      </w:r>
      <w:r w:rsidRPr="0095533F">
        <w:rPr>
          <w:rFonts w:ascii="Book Antiqua" w:hAnsi="Book Antiqua"/>
          <w:sz w:val="24"/>
          <w:szCs w:val="24"/>
        </w:rPr>
        <w:t xml:space="preserve"> “Rosendo Cantú”, se señaló que el principio de no discriminación consagrado en el artículo 1.1 de la Convención Americana impone la obligación del Estado de otorgar </w:t>
      </w:r>
      <w:r w:rsidRPr="0095533F">
        <w:rPr>
          <w:rFonts w:ascii="Book Antiqua" w:hAnsi="Book Antiqua"/>
          <w:i/>
          <w:sz w:val="24"/>
          <w:szCs w:val="24"/>
        </w:rPr>
        <w:t>“una protección efectiva que tome en cuenta sus particularidades propias, sus características económicas y sociales, así como su situación de especial vulnerabilidad, su derecho consuetudinario, valores, usos y costumbres”</w:t>
      </w:r>
      <w:r w:rsidRPr="0095533F">
        <w:rPr>
          <w:rFonts w:ascii="Book Antiqua" w:hAnsi="Book Antiqua"/>
          <w:sz w:val="24"/>
          <w:szCs w:val="24"/>
        </w:rPr>
        <w:t xml:space="preserve"> (párr. 184)</w:t>
      </w:r>
      <w:r w:rsidRPr="0095533F">
        <w:rPr>
          <w:rStyle w:val="Refdenotaalpie"/>
          <w:rFonts w:ascii="Book Antiqua" w:hAnsi="Book Antiqua"/>
          <w:sz w:val="24"/>
          <w:szCs w:val="24"/>
        </w:rPr>
        <w:t xml:space="preserve"> </w:t>
      </w:r>
      <w:r w:rsidRPr="0095533F">
        <w:rPr>
          <w:rStyle w:val="Refdenotaalpie"/>
          <w:rFonts w:ascii="Book Antiqua" w:hAnsi="Book Antiqua"/>
          <w:sz w:val="24"/>
          <w:szCs w:val="24"/>
        </w:rPr>
        <w:footnoteReference w:id="5"/>
      </w:r>
      <w:r w:rsidRPr="0095533F">
        <w:rPr>
          <w:rFonts w:ascii="Book Antiqua" w:hAnsi="Book Antiqua"/>
          <w:sz w:val="24"/>
          <w:szCs w:val="24"/>
        </w:rPr>
        <w:t>.</w:t>
      </w:r>
    </w:p>
    <w:p w:rsidR="00E60ED2" w:rsidRPr="0095533F" w:rsidRDefault="00E60ED2" w:rsidP="003B42CC">
      <w:pPr>
        <w:pStyle w:val="Textonotapie"/>
        <w:spacing w:before="100" w:beforeAutospacing="1" w:after="120" w:line="360" w:lineRule="auto"/>
        <w:ind w:firstLine="567"/>
        <w:contextualSpacing/>
        <w:jc w:val="both"/>
        <w:rPr>
          <w:rFonts w:ascii="Book Antiqua" w:hAnsi="Book Antiqua"/>
          <w:sz w:val="24"/>
          <w:szCs w:val="24"/>
        </w:rPr>
      </w:pPr>
      <w:r w:rsidRPr="0095533F">
        <w:rPr>
          <w:rFonts w:ascii="Book Antiqua" w:hAnsi="Book Antiqua"/>
          <w:sz w:val="24"/>
          <w:szCs w:val="24"/>
        </w:rPr>
        <w:t xml:space="preserve">Como se concluye en el </w:t>
      </w:r>
      <w:r w:rsidRPr="0095533F">
        <w:rPr>
          <w:rFonts w:ascii="Book Antiqua" w:hAnsi="Book Antiqua"/>
          <w:i/>
          <w:sz w:val="24"/>
          <w:szCs w:val="24"/>
        </w:rPr>
        <w:t>“Protocolo de Actuación para quienes imparten justicia en casos que involucren derechos de personas, comunidades y pueblos indígenas”</w:t>
      </w:r>
      <w:r w:rsidRPr="0095533F">
        <w:rPr>
          <w:rFonts w:ascii="Book Antiqua" w:hAnsi="Book Antiqua"/>
          <w:sz w:val="24"/>
          <w:szCs w:val="24"/>
        </w:rPr>
        <w:t xml:space="preserve"> de la Suprema Corte de Justicia de México</w:t>
      </w:r>
      <w:r w:rsidRPr="0095533F">
        <w:rPr>
          <w:rStyle w:val="Refdenotaalpie"/>
          <w:rFonts w:ascii="Book Antiqua" w:hAnsi="Book Antiqua" w:cs="DDKAMK+Arial"/>
          <w:i/>
          <w:sz w:val="24"/>
          <w:szCs w:val="24"/>
        </w:rPr>
        <w:footnoteReference w:id="6"/>
      </w:r>
      <w:r w:rsidRPr="0095533F">
        <w:rPr>
          <w:rFonts w:ascii="Book Antiqua" w:hAnsi="Book Antiqua"/>
          <w:sz w:val="24"/>
          <w:szCs w:val="24"/>
        </w:rPr>
        <w:t xml:space="preserve">, en relación a las consideraciones a tener en </w:t>
      </w:r>
      <w:r w:rsidRPr="0095533F">
        <w:rPr>
          <w:rFonts w:ascii="Book Antiqua" w:hAnsi="Book Antiqua"/>
          <w:sz w:val="24"/>
          <w:szCs w:val="24"/>
        </w:rPr>
        <w:lastRenderedPageBreak/>
        <w:t xml:space="preserve">cuenta por los juzgadores en casos de personas pertenecientes a minorías étnicas o culturales, </w:t>
      </w:r>
      <w:r w:rsidRPr="0095533F">
        <w:rPr>
          <w:rFonts w:ascii="Book Antiqua" w:hAnsi="Book Antiqua"/>
          <w:i/>
          <w:sz w:val="24"/>
          <w:szCs w:val="24"/>
        </w:rPr>
        <w:t>“</w:t>
      </w:r>
      <w:r w:rsidRPr="0095533F">
        <w:rPr>
          <w:rFonts w:ascii="Book Antiqua" w:hAnsi="Book Antiqua"/>
          <w:b/>
          <w:i/>
          <w:sz w:val="24"/>
          <w:szCs w:val="24"/>
        </w:rPr>
        <w:t>está en los impartidores de justicia averiguar si en los casos que revisan hay elementos de especificidad cultural relevantes para ser tomados en cuenta en el momento de  determinar</w:t>
      </w:r>
      <w:r w:rsidRPr="0095533F">
        <w:rPr>
          <w:rFonts w:ascii="Book Antiqua" w:hAnsi="Book Antiqua"/>
          <w:i/>
          <w:sz w:val="24"/>
          <w:szCs w:val="24"/>
        </w:rPr>
        <w:t xml:space="preserve">, por ejemplo, </w:t>
      </w:r>
      <w:r w:rsidRPr="0095533F">
        <w:rPr>
          <w:rFonts w:ascii="Book Antiqua" w:hAnsi="Book Antiqua"/>
          <w:b/>
          <w:i/>
          <w:sz w:val="24"/>
          <w:szCs w:val="24"/>
        </w:rPr>
        <w:t>la responsabilidad penal y si estos elementos influyeron en la comisión de los hechos o en los elementos determinantes de la responsabilidad del encausado</w:t>
      </w:r>
      <w:r w:rsidRPr="0095533F">
        <w:rPr>
          <w:rFonts w:ascii="Book Antiqua" w:hAnsi="Book Antiqua"/>
          <w:i/>
          <w:sz w:val="24"/>
          <w:szCs w:val="24"/>
        </w:rPr>
        <w:t xml:space="preserve">. Para que la justicia sea cultural y materialmente accesible a estas personas y colectivos, en todos los juicios y procedimientos en que sean parte, individual o colectivamente, deben contar con intérpretes que conozcan su lengua. Deben contar con los medios eficaces para comprender y hacerse comprender dentro del procedimiento. Para ello es </w:t>
      </w:r>
      <w:r w:rsidRPr="0095533F">
        <w:rPr>
          <w:rFonts w:ascii="Book Antiqua" w:hAnsi="Book Antiqua"/>
          <w:b/>
          <w:i/>
          <w:sz w:val="24"/>
          <w:szCs w:val="24"/>
        </w:rPr>
        <w:t>recomendable que en caso de requerir peritos intérpretes o peritos técnico-culturales</w:t>
      </w:r>
      <w:r w:rsidRPr="0095533F">
        <w:rPr>
          <w:rFonts w:ascii="Book Antiqua" w:hAnsi="Book Antiqua"/>
          <w:i/>
          <w:sz w:val="24"/>
          <w:szCs w:val="24"/>
        </w:rPr>
        <w:t xml:space="preserve">, se soliciten sus servicios a la Dirección General de Asuntos Jurídicos del Consejo de la Judicatura Federal (…) De esa forma se deberán tomar en cuenta sus costumbres y especificidades culturales, tanto </w:t>
      </w:r>
      <w:r w:rsidRPr="0095533F">
        <w:rPr>
          <w:rFonts w:ascii="Book Antiqua" w:hAnsi="Book Antiqua"/>
          <w:b/>
          <w:i/>
          <w:sz w:val="24"/>
          <w:szCs w:val="24"/>
        </w:rPr>
        <w:t>para determinar si la conducta particular está influida por una visión del mundo distinta al sentido común que presupone la ley positiva, como para determinar si en el contexto socio-cultural de la persona existen normas que le prohibieron, le obligaron o le permitieron realizar conductas distintas a las esperadas por el derecho positivo</w:t>
      </w:r>
      <w:r w:rsidRPr="0095533F">
        <w:rPr>
          <w:rFonts w:ascii="Book Antiqua" w:hAnsi="Book Antiqua"/>
          <w:i/>
          <w:sz w:val="24"/>
          <w:szCs w:val="24"/>
        </w:rPr>
        <w:t>” (el resaltado nos pertenece)</w:t>
      </w:r>
      <w:r w:rsidRPr="0095533F">
        <w:rPr>
          <w:rFonts w:ascii="Book Antiqua" w:hAnsi="Book Antiqua"/>
          <w:sz w:val="24"/>
          <w:szCs w:val="24"/>
        </w:rPr>
        <w:t xml:space="preserve">. </w:t>
      </w:r>
    </w:p>
    <w:p w:rsidR="00E60ED2" w:rsidRPr="0095533F" w:rsidRDefault="00E60ED2" w:rsidP="003B42CC">
      <w:pPr>
        <w:pStyle w:val="Textonotapie"/>
        <w:spacing w:before="100" w:beforeAutospacing="1" w:after="120" w:line="360" w:lineRule="auto"/>
        <w:ind w:firstLine="567"/>
        <w:contextualSpacing/>
        <w:jc w:val="both"/>
        <w:rPr>
          <w:rFonts w:ascii="Book Antiqua" w:hAnsi="Book Antiqua"/>
          <w:sz w:val="24"/>
          <w:szCs w:val="24"/>
        </w:rPr>
      </w:pPr>
      <w:r w:rsidRPr="0095533F">
        <w:rPr>
          <w:rFonts w:ascii="Book Antiqua" w:hAnsi="Book Antiqua"/>
          <w:sz w:val="24"/>
          <w:szCs w:val="24"/>
        </w:rPr>
        <w:t xml:space="preserve">También, en ese Protocolo, se continúa precisando que </w:t>
      </w:r>
      <w:r w:rsidRPr="0095533F">
        <w:rPr>
          <w:rFonts w:ascii="Book Antiqua" w:hAnsi="Book Antiqua"/>
          <w:i/>
          <w:sz w:val="24"/>
          <w:szCs w:val="24"/>
        </w:rPr>
        <w:t>“el juzgador debe hacer una valoración integral del caso y el contexto cultural del indiciado mediante una actitud proactiva orientada a favorecer la eficacia de los derechos de las personas, allegándose los elementos que le ayuden a resolver considerando esas especificidades”</w:t>
      </w:r>
      <w:r w:rsidRPr="0095533F">
        <w:rPr>
          <w:rFonts w:ascii="Book Antiqua" w:hAnsi="Book Antiqua"/>
          <w:sz w:val="24"/>
          <w:szCs w:val="24"/>
        </w:rPr>
        <w:t xml:space="preserve">. </w:t>
      </w:r>
    </w:p>
    <w:p w:rsidR="00E60ED2" w:rsidRPr="0095533F" w:rsidRDefault="00E60ED2" w:rsidP="003B42CC">
      <w:pPr>
        <w:pStyle w:val="Textonotapie"/>
        <w:spacing w:before="100" w:beforeAutospacing="1" w:after="120" w:line="360" w:lineRule="auto"/>
        <w:ind w:firstLine="567"/>
        <w:contextualSpacing/>
        <w:jc w:val="both"/>
        <w:rPr>
          <w:rFonts w:ascii="Book Antiqua" w:hAnsi="Book Antiqua"/>
          <w:sz w:val="24"/>
          <w:szCs w:val="24"/>
        </w:rPr>
      </w:pPr>
      <w:r w:rsidRPr="0095533F">
        <w:rPr>
          <w:rFonts w:ascii="Book Antiqua" w:hAnsi="Book Antiqua"/>
          <w:sz w:val="24"/>
          <w:szCs w:val="24"/>
        </w:rPr>
        <w:t>Finalmente, en línea con el criterio expuesto, la Corte IDH en “</w:t>
      </w:r>
      <w:proofErr w:type="spellStart"/>
      <w:r w:rsidRPr="0095533F">
        <w:rPr>
          <w:rFonts w:ascii="Book Antiqua" w:hAnsi="Book Antiqua"/>
          <w:i/>
          <w:sz w:val="24"/>
          <w:szCs w:val="24"/>
        </w:rPr>
        <w:t>Xákmok</w:t>
      </w:r>
      <w:proofErr w:type="spellEnd"/>
      <w:r w:rsidRPr="0095533F">
        <w:rPr>
          <w:rFonts w:ascii="Book Antiqua" w:hAnsi="Book Antiqua"/>
          <w:i/>
          <w:sz w:val="24"/>
          <w:szCs w:val="24"/>
        </w:rPr>
        <w:t xml:space="preserve"> </w:t>
      </w:r>
      <w:proofErr w:type="spellStart"/>
      <w:r w:rsidRPr="0095533F">
        <w:rPr>
          <w:rFonts w:ascii="Book Antiqua" w:hAnsi="Book Antiqua"/>
          <w:i/>
          <w:sz w:val="24"/>
          <w:szCs w:val="24"/>
        </w:rPr>
        <w:t>Kásek</w:t>
      </w:r>
      <w:proofErr w:type="spellEnd"/>
      <w:r w:rsidRPr="0095533F">
        <w:rPr>
          <w:rFonts w:ascii="Book Antiqua" w:hAnsi="Book Antiqua"/>
          <w:i/>
          <w:sz w:val="24"/>
          <w:szCs w:val="24"/>
        </w:rPr>
        <w:t>”</w:t>
      </w:r>
      <w:r w:rsidRPr="0095533F">
        <w:rPr>
          <w:rFonts w:ascii="Book Antiqua" w:hAnsi="Book Antiqua"/>
          <w:sz w:val="24"/>
          <w:szCs w:val="24"/>
        </w:rPr>
        <w:t xml:space="preserve"> (2010) ha concluido que el principio de la protección igualitaria y efectiva de la ley y de la no discriminación, en la actual etapa de la evolución del derecho internacional de los derechos humanos, ha ingresado en el dominio del </w:t>
      </w:r>
      <w:proofErr w:type="spellStart"/>
      <w:r w:rsidRPr="0095533F">
        <w:rPr>
          <w:rFonts w:ascii="Book Antiqua" w:hAnsi="Book Antiqua"/>
          <w:i/>
          <w:sz w:val="24"/>
          <w:szCs w:val="24"/>
        </w:rPr>
        <w:t>jus</w:t>
      </w:r>
      <w:proofErr w:type="spellEnd"/>
      <w:r w:rsidRPr="0095533F">
        <w:rPr>
          <w:rFonts w:ascii="Book Antiqua" w:hAnsi="Book Antiqua"/>
          <w:i/>
          <w:sz w:val="24"/>
          <w:szCs w:val="24"/>
        </w:rPr>
        <w:t xml:space="preserve"> </w:t>
      </w:r>
      <w:proofErr w:type="spellStart"/>
      <w:r w:rsidRPr="0095533F">
        <w:rPr>
          <w:rFonts w:ascii="Book Antiqua" w:hAnsi="Book Antiqua"/>
          <w:i/>
          <w:sz w:val="24"/>
          <w:szCs w:val="24"/>
        </w:rPr>
        <w:t>cogens</w:t>
      </w:r>
      <w:proofErr w:type="spellEnd"/>
      <w:r w:rsidRPr="0095533F">
        <w:rPr>
          <w:rFonts w:ascii="Book Antiqua" w:hAnsi="Book Antiqua"/>
          <w:sz w:val="24"/>
          <w:szCs w:val="24"/>
        </w:rPr>
        <w:t xml:space="preserve"> sobre el cual se basa el andamiaje jurídico del orden público nacional e internacional (par. 269)</w:t>
      </w:r>
      <w:r w:rsidRPr="0095533F">
        <w:rPr>
          <w:rStyle w:val="Refdenotaalpie"/>
          <w:rFonts w:ascii="Book Antiqua" w:hAnsi="Book Antiqua"/>
          <w:sz w:val="24"/>
          <w:szCs w:val="24"/>
        </w:rPr>
        <w:footnoteReference w:id="7"/>
      </w:r>
      <w:r w:rsidRPr="0095533F">
        <w:rPr>
          <w:rFonts w:ascii="Book Antiqua" w:hAnsi="Book Antiqua"/>
          <w:sz w:val="24"/>
          <w:szCs w:val="24"/>
        </w:rPr>
        <w:t xml:space="preserve">. </w:t>
      </w:r>
    </w:p>
    <w:p w:rsidR="00E60ED2" w:rsidRPr="0095533F" w:rsidRDefault="00E60ED2" w:rsidP="003B42CC">
      <w:pPr>
        <w:pStyle w:val="Textonotapie"/>
        <w:spacing w:before="100" w:beforeAutospacing="1" w:after="120" w:line="360" w:lineRule="auto"/>
        <w:ind w:firstLine="567"/>
        <w:contextualSpacing/>
        <w:jc w:val="both"/>
        <w:rPr>
          <w:rFonts w:ascii="Book Antiqua" w:hAnsi="Book Antiqua"/>
          <w:sz w:val="24"/>
          <w:szCs w:val="24"/>
        </w:rPr>
      </w:pPr>
      <w:r w:rsidRPr="0095533F">
        <w:rPr>
          <w:rFonts w:ascii="Book Antiqua" w:hAnsi="Book Antiqua"/>
          <w:sz w:val="24"/>
          <w:szCs w:val="24"/>
        </w:rPr>
        <w:t xml:space="preserve">Esa obligación alcanza también por supuesto al momento de la determinación y ejecución de las sanciones penales, en la línea de lo </w:t>
      </w:r>
      <w:r w:rsidRPr="0095533F">
        <w:rPr>
          <w:rFonts w:ascii="Book Antiqua" w:hAnsi="Book Antiqua"/>
          <w:sz w:val="24"/>
          <w:szCs w:val="24"/>
        </w:rPr>
        <w:lastRenderedPageBreak/>
        <w:t xml:space="preserve">establecido en el artículo 10 del Convenio 169 de la OIT, por lo que debe tenerse en cuenta la identidad étnica como factor para ser considerado y debidamente atendido en función de las necesidades. </w:t>
      </w:r>
    </w:p>
    <w:p w:rsidR="00E60ED2" w:rsidRPr="0095533F" w:rsidRDefault="00E60ED2" w:rsidP="003B42CC">
      <w:pPr>
        <w:pStyle w:val="Textonotapie"/>
        <w:spacing w:before="100" w:beforeAutospacing="1" w:after="120" w:line="360" w:lineRule="auto"/>
        <w:ind w:firstLine="567"/>
        <w:contextualSpacing/>
        <w:jc w:val="both"/>
        <w:rPr>
          <w:rFonts w:ascii="Book Antiqua" w:hAnsi="Book Antiqua"/>
          <w:sz w:val="24"/>
          <w:szCs w:val="24"/>
        </w:rPr>
      </w:pPr>
      <w:r w:rsidRPr="0095533F">
        <w:rPr>
          <w:rFonts w:ascii="Book Antiqua" w:hAnsi="Book Antiqua"/>
          <w:sz w:val="24"/>
          <w:szCs w:val="24"/>
        </w:rPr>
        <w:t xml:space="preserve">En síntesis, se trata pues, de una obligación de parte del juzgador con especial intensidad en los procesos penales, consistente en verificar adecuadamente si se han configurado situaciones de especificidad cultural y étnica en el caso, y que no puede ser delegada en las partes como mera carga probatoria. El principio de igualdad y no discriminación, y el de respeto a la diversidad cultural, hace recaer sobre los jueces la obligación de evaluar y ponderar expresamente los elementos de carácter cultural y étnico y las condiciones de vulnerabilidad en general, que puedan influir decisivamente sobre la resolución del caso, para descartar su virtualidad como atenuante o causa de absolución del hecho. De tal modo que el no respeto al principio de considerar las especificidades culturales y étnicas de las personas sometidas a juicio, afecta sustancialmente el debido proceso y constituye una violación a las reglas de orden público susceptible de ser corregida y reparada mediante el sistema general de nulidades. </w:t>
      </w:r>
    </w:p>
    <w:p w:rsidR="00E60ED2" w:rsidRPr="0095533F" w:rsidRDefault="00E60ED2" w:rsidP="003B42CC">
      <w:pPr>
        <w:pStyle w:val="Textonotapie"/>
        <w:spacing w:before="100" w:beforeAutospacing="1" w:after="120" w:line="360" w:lineRule="auto"/>
        <w:ind w:firstLine="567"/>
        <w:contextualSpacing/>
        <w:jc w:val="both"/>
        <w:rPr>
          <w:rFonts w:ascii="Book Antiqua" w:hAnsi="Book Antiqua"/>
          <w:sz w:val="24"/>
          <w:szCs w:val="24"/>
        </w:rPr>
      </w:pPr>
      <w:r w:rsidRPr="0095533F">
        <w:rPr>
          <w:rFonts w:ascii="Book Antiqua" w:hAnsi="Book Antiqua"/>
          <w:sz w:val="24"/>
          <w:szCs w:val="24"/>
        </w:rPr>
        <w:t>Por ello, los derechos y principios de orden público establecidos en torno a la igualdad y no discriminación, implican la existencia de obligaciones que solo pueden estar en cabeza de los jueces y fiscales que actúan, quienes deben acreditar en los diferentes procesos su cumplimiento mediante la realización de actos procesales, tendientes a dilucidar las cuestiones que se planteen y dar protección judicial efectiva, y ser debidamente razonablemente atendidas, valoradas y conceptualmente desarrolladas en el marco de la regla de la sana crítica al dictar sentencia.</w:t>
      </w:r>
    </w:p>
    <w:p w:rsidR="00E60ED2" w:rsidRPr="0095533F" w:rsidRDefault="005B0DBF" w:rsidP="003B42CC">
      <w:pPr>
        <w:pStyle w:val="Textonotapie"/>
        <w:numPr>
          <w:ilvl w:val="1"/>
          <w:numId w:val="2"/>
        </w:numPr>
        <w:spacing w:before="100" w:beforeAutospacing="1" w:after="120" w:line="360" w:lineRule="auto"/>
        <w:ind w:left="0" w:firstLine="567"/>
        <w:contextualSpacing/>
        <w:jc w:val="both"/>
        <w:rPr>
          <w:rFonts w:ascii="Book Antiqua" w:hAnsi="Book Antiqua"/>
          <w:b/>
          <w:sz w:val="24"/>
          <w:szCs w:val="24"/>
        </w:rPr>
      </w:pPr>
      <w:r w:rsidRPr="0095533F">
        <w:rPr>
          <w:rFonts w:ascii="Book Antiqua" w:hAnsi="Book Antiqua"/>
          <w:b/>
          <w:sz w:val="24"/>
          <w:szCs w:val="24"/>
        </w:rPr>
        <w:t>L</w:t>
      </w:r>
      <w:r w:rsidR="00E60ED2" w:rsidRPr="0095533F">
        <w:rPr>
          <w:rFonts w:ascii="Book Antiqua" w:hAnsi="Book Antiqua"/>
          <w:b/>
          <w:sz w:val="24"/>
          <w:szCs w:val="24"/>
        </w:rPr>
        <w:t>a concepción jurídica de la identidad étnica y cultural.</w:t>
      </w:r>
    </w:p>
    <w:p w:rsidR="00E60ED2" w:rsidRPr="0095533F" w:rsidRDefault="00E60ED2" w:rsidP="003B42CC">
      <w:pPr>
        <w:spacing w:before="100" w:beforeAutospacing="1" w:after="120"/>
        <w:ind w:firstLine="567"/>
        <w:contextualSpacing/>
        <w:rPr>
          <w:rFonts w:ascii="Book Antiqua" w:hAnsi="Book Antiqua"/>
        </w:rPr>
      </w:pPr>
      <w:r w:rsidRPr="0095533F">
        <w:rPr>
          <w:rFonts w:ascii="Book Antiqua" w:hAnsi="Book Antiqua"/>
        </w:rPr>
        <w:t xml:space="preserve">Se considera como grupo étnico-nacional a toda colectividad de individuos con tradiciones, o lengua, o religión u origen territorial común, que asuma su pertenencia </w:t>
      </w:r>
      <w:proofErr w:type="gramStart"/>
      <w:r w:rsidRPr="0095533F">
        <w:rPr>
          <w:rFonts w:ascii="Book Antiqua" w:hAnsi="Book Antiqua"/>
        </w:rPr>
        <w:t>a</w:t>
      </w:r>
      <w:proofErr w:type="gramEnd"/>
      <w:r w:rsidRPr="0095533F">
        <w:rPr>
          <w:rFonts w:ascii="Book Antiqua" w:hAnsi="Book Antiqua"/>
        </w:rPr>
        <w:t xml:space="preserve"> dicho colectivo, siendo esta “auto-inclusión” la característica central de su pertenencia</w:t>
      </w:r>
      <w:r w:rsidRPr="0095533F">
        <w:rPr>
          <w:rStyle w:val="Refdenotaalpie"/>
          <w:rFonts w:ascii="Book Antiqua" w:hAnsi="Book Antiqua"/>
        </w:rPr>
        <w:footnoteReference w:id="8"/>
      </w:r>
      <w:r w:rsidRPr="0095533F">
        <w:rPr>
          <w:rFonts w:ascii="Book Antiqua" w:hAnsi="Book Antiqua"/>
        </w:rPr>
        <w:t>.</w:t>
      </w:r>
    </w:p>
    <w:p w:rsidR="00E60ED2" w:rsidRPr="0095533F" w:rsidRDefault="00E60ED2" w:rsidP="003B42CC">
      <w:pPr>
        <w:spacing w:before="100" w:beforeAutospacing="1" w:after="120"/>
        <w:ind w:firstLine="567"/>
        <w:contextualSpacing/>
        <w:rPr>
          <w:rFonts w:ascii="Book Antiqua" w:hAnsi="Book Antiqua"/>
        </w:rPr>
      </w:pPr>
      <w:r w:rsidRPr="0095533F">
        <w:rPr>
          <w:rFonts w:ascii="Book Antiqua" w:hAnsi="Book Antiqua"/>
        </w:rPr>
        <w:lastRenderedPageBreak/>
        <w:t xml:space="preserve">Por lo expuesto, la concepción jurídica de la identidad étnica y cultural es un aspecto de relevancia a ser precisado, para lo cual rigen pautas normativas. Si existieran dudas acerca de la identidad étnica de la persona traída a proceso judicial, la cuestión no debe ser dilucidada por el juzgador sin recurrir a verificar el criterio normativo internacional de </w:t>
      </w:r>
      <w:proofErr w:type="spellStart"/>
      <w:r w:rsidRPr="0095533F">
        <w:rPr>
          <w:rFonts w:ascii="Book Antiqua" w:hAnsi="Book Antiqua"/>
        </w:rPr>
        <w:t>autoadscripción</w:t>
      </w:r>
      <w:proofErr w:type="spellEnd"/>
      <w:r w:rsidRPr="0095533F">
        <w:rPr>
          <w:rFonts w:ascii="Book Antiqua" w:hAnsi="Book Antiqua"/>
        </w:rPr>
        <w:t>, mediante la pregunta directa al involucrado para develar su conciencia de identidad y pertenencia (artículo 1 del Convenio 169 de la OIT). Para el caso que persista el interrogante de modo fundado, podría, en respeto del mismo principio, recurrirse a la misma comunidad para que aportara su criterio de adscripción.</w:t>
      </w:r>
    </w:p>
    <w:p w:rsidR="00E60ED2" w:rsidRPr="0095533F" w:rsidRDefault="00E60ED2" w:rsidP="003B42CC">
      <w:pPr>
        <w:spacing w:before="100" w:beforeAutospacing="1" w:after="120"/>
        <w:ind w:firstLine="567"/>
        <w:contextualSpacing/>
        <w:rPr>
          <w:rFonts w:ascii="Book Antiqua" w:hAnsi="Book Antiqua"/>
        </w:rPr>
      </w:pPr>
      <w:r w:rsidRPr="0095533F">
        <w:rPr>
          <w:rFonts w:ascii="Book Antiqua" w:hAnsi="Book Antiqua"/>
        </w:rPr>
        <w:t xml:space="preserve">Las personas pertenecientes a una minoría étnica son titulares, en el sistema normativo nacional, de los derechos previstos en el Convenio 169 de la Organización General del Trabajo. En este sentido, la categoría de pueblo tribal –sujeto de derecho definido por el Convenio- incluye a todos los grupos sociales que comparten una identidad cultural distinta a la predominante en la sociedad a la que pertenece, reconociendo así la existencia de grupos étnicos diferentes, para garantía de su supervivencia social, económica, política y cultural. </w:t>
      </w:r>
    </w:p>
    <w:p w:rsidR="00E60ED2" w:rsidRPr="0095533F" w:rsidRDefault="00E60ED2" w:rsidP="003B42CC">
      <w:pPr>
        <w:spacing w:before="100" w:beforeAutospacing="1" w:after="120"/>
        <w:ind w:firstLine="567"/>
        <w:contextualSpacing/>
        <w:rPr>
          <w:rFonts w:ascii="Book Antiqua" w:hAnsi="Book Antiqua"/>
        </w:rPr>
      </w:pPr>
      <w:r w:rsidRPr="0095533F">
        <w:rPr>
          <w:rFonts w:ascii="Book Antiqua" w:hAnsi="Book Antiqua"/>
        </w:rPr>
        <w:t xml:space="preserve">En el derecho comparado, la Corte Constitucional de Colombia se ha pronunciado sobre la admisión del reconocimiento constitucional del pueblo </w:t>
      </w:r>
      <w:proofErr w:type="spellStart"/>
      <w:r w:rsidRPr="0095533F">
        <w:rPr>
          <w:rFonts w:ascii="Book Antiqua" w:hAnsi="Book Antiqua"/>
        </w:rPr>
        <w:t>Rom</w:t>
      </w:r>
      <w:proofErr w:type="spellEnd"/>
      <w:r w:rsidRPr="0095533F">
        <w:rPr>
          <w:rFonts w:ascii="Book Antiqua" w:hAnsi="Book Antiqua"/>
        </w:rPr>
        <w:t xml:space="preserve"> o Gitano como grupo étnico y cultural de la nación, al incluir dentro de la expresión “pueblos tribales” del citado Convenio, lo que impone al Estado el cumplimiento de obligaciones determinadas a fin de garantizar los derechos de las personas pertenecientes a la cultura Gitana Romaní en su condición de minoría étnica. En esa ocasión expresó: </w:t>
      </w:r>
      <w:r w:rsidRPr="0095533F">
        <w:rPr>
          <w:rFonts w:ascii="Book Antiqua" w:hAnsi="Book Antiqua"/>
          <w:i/>
        </w:rPr>
        <w:t xml:space="preserve">“Del contexto constitucional e internacional puede establecerse como criterios fundamentales para la identificación de una comunidad tribal o grupo </w:t>
      </w:r>
      <w:proofErr w:type="spellStart"/>
      <w:r w:rsidRPr="0095533F">
        <w:rPr>
          <w:rFonts w:ascii="Book Antiqua" w:hAnsi="Book Antiqua"/>
          <w:i/>
        </w:rPr>
        <w:t>etno</w:t>
      </w:r>
      <w:proofErr w:type="spellEnd"/>
      <w:r w:rsidRPr="0095533F">
        <w:rPr>
          <w:rFonts w:ascii="Book Antiqua" w:hAnsi="Book Antiqua"/>
          <w:i/>
        </w:rPr>
        <w:t xml:space="preserve">-cultural, los siguientes: a) la </w:t>
      </w:r>
      <w:proofErr w:type="spellStart"/>
      <w:r w:rsidRPr="0095533F">
        <w:rPr>
          <w:rFonts w:ascii="Book Antiqua" w:hAnsi="Book Antiqua"/>
          <w:i/>
        </w:rPr>
        <w:t>autoidentificación</w:t>
      </w:r>
      <w:proofErr w:type="spellEnd"/>
      <w:r w:rsidRPr="0095533F">
        <w:rPr>
          <w:rFonts w:ascii="Book Antiqua" w:hAnsi="Book Antiqua"/>
          <w:i/>
        </w:rPr>
        <w:t xml:space="preserve"> y vínculo comunitario; b) estilos tradicionales de vida; c) cultura y modo de vida diferentes a los de los otros segmentos de la población nacional; d) organización social y costumbres propias; y e) normas tradicionales propias. De cumplirse estos requerimientos se hace merecedor del derecho al reconocimiento y protección constitucional como grupo étnico y cultural de la Nación colombiana, que ocasiona el que se adquiera la titularidad de derechos colectivos en la condición de una cultura </w:t>
      </w:r>
      <w:r w:rsidRPr="0095533F">
        <w:rPr>
          <w:rFonts w:ascii="Book Antiqua" w:hAnsi="Book Antiqua"/>
          <w:i/>
        </w:rPr>
        <w:lastRenderedPageBreak/>
        <w:t>diversa, acreedora de los beneficios que por la Constitución y el Convenio 169 de la OIT consagran para las demás comunidades”</w:t>
      </w:r>
      <w:r w:rsidRPr="0095533F">
        <w:rPr>
          <w:rFonts w:ascii="Book Antiqua" w:hAnsi="Book Antiqua"/>
        </w:rPr>
        <w:t xml:space="preserve"> (Sentencia C-359/13, del 26/06/2013)</w:t>
      </w:r>
      <w:r w:rsidRPr="0095533F">
        <w:rPr>
          <w:rStyle w:val="Refdenotaalpie"/>
          <w:rFonts w:ascii="Book Antiqua" w:hAnsi="Book Antiqua"/>
        </w:rPr>
        <w:footnoteReference w:id="9"/>
      </w:r>
      <w:r w:rsidRPr="0095533F">
        <w:rPr>
          <w:rFonts w:ascii="Book Antiqua" w:hAnsi="Book Antiqua"/>
        </w:rPr>
        <w:t>.</w:t>
      </w:r>
    </w:p>
    <w:p w:rsidR="00E60ED2" w:rsidRPr="0095533F" w:rsidRDefault="00E60ED2" w:rsidP="003B42CC">
      <w:pPr>
        <w:spacing w:before="100" w:beforeAutospacing="1" w:after="120"/>
        <w:ind w:firstLine="567"/>
        <w:contextualSpacing/>
        <w:rPr>
          <w:rFonts w:ascii="Book Antiqua" w:hAnsi="Book Antiqua"/>
        </w:rPr>
      </w:pPr>
      <w:r w:rsidRPr="0095533F">
        <w:rPr>
          <w:rFonts w:ascii="Book Antiqua" w:hAnsi="Book Antiqua"/>
        </w:rPr>
        <w:t>El reconocimiento y protección de derechos a las minorías étnicas y culturales debe darse en condiciones de igualdad y dignidad, respetando las diferencias y particularidades de cada cultura, en todos los aspectos, muy particularmente durante el desarrollo de la totalidad de las etapas del proceso judicial-penal. Este reconocimiento y protección de derechos obedece a motivos culturales y razones étnicas, sin que lo desvirtúe el mayor o menor grado de integración a las normas y pautas culturales predominantes por parte del grupo social o de las personas pertenecientes al mismo. Al contrario, lo interacción social, el intercambio y el mestizaje étnico forma parte de la condición dinámica de la cultura en general. No hay identidad cultural estática, salvo los casos de aislamiento.</w:t>
      </w:r>
    </w:p>
    <w:p w:rsidR="00E60ED2" w:rsidRPr="0095533F" w:rsidRDefault="00E60ED2" w:rsidP="003B42CC">
      <w:pPr>
        <w:spacing w:before="100" w:beforeAutospacing="1" w:after="120"/>
        <w:ind w:firstLine="567"/>
        <w:contextualSpacing/>
        <w:rPr>
          <w:rFonts w:ascii="Book Antiqua" w:hAnsi="Book Antiqua"/>
        </w:rPr>
      </w:pPr>
      <w:r w:rsidRPr="0095533F">
        <w:rPr>
          <w:rFonts w:ascii="Book Antiqua" w:hAnsi="Book Antiqua"/>
        </w:rPr>
        <w:t xml:space="preserve">En este mismo sentido de protección normativa, corresponde tener en cuenta que la Comisión de Derechos Humanos de las Naciones Unidas en la reunión celebrada en 1992 adoptó la Resolución 1992/75 titulada “protección a los </w:t>
      </w:r>
      <w:proofErr w:type="spellStart"/>
      <w:r w:rsidRPr="0095533F">
        <w:rPr>
          <w:rFonts w:ascii="Book Antiqua" w:hAnsi="Book Antiqua"/>
        </w:rPr>
        <w:t>Rom</w:t>
      </w:r>
      <w:proofErr w:type="spellEnd"/>
      <w:r w:rsidRPr="0095533F">
        <w:rPr>
          <w:rFonts w:ascii="Book Antiqua" w:hAnsi="Book Antiqua"/>
        </w:rPr>
        <w:t>”, por medio de la cual invitó a tomar las medidas necesarias para eliminar toda forma de discriminación contra las personas pertenecientes a la cultura Gitana.</w:t>
      </w:r>
    </w:p>
    <w:p w:rsidR="00E60ED2" w:rsidRPr="0095533F" w:rsidRDefault="00F515E5" w:rsidP="003B42CC">
      <w:pPr>
        <w:numPr>
          <w:ilvl w:val="0"/>
          <w:numId w:val="2"/>
        </w:numPr>
        <w:spacing w:before="100" w:beforeAutospacing="1" w:after="120"/>
        <w:ind w:left="0" w:firstLine="567"/>
        <w:contextualSpacing/>
        <w:rPr>
          <w:rStyle w:val="A1"/>
          <w:rFonts w:ascii="Book Antiqua" w:hAnsi="Book Antiqua"/>
          <w:b/>
          <w:sz w:val="24"/>
          <w:szCs w:val="24"/>
          <w:u w:val="single"/>
        </w:rPr>
      </w:pPr>
      <w:r w:rsidRPr="0095533F">
        <w:rPr>
          <w:rStyle w:val="A1"/>
          <w:rFonts w:ascii="Book Antiqua" w:hAnsi="Book Antiqua"/>
          <w:b/>
          <w:sz w:val="24"/>
          <w:szCs w:val="24"/>
          <w:u w:val="single"/>
        </w:rPr>
        <w:t>L</w:t>
      </w:r>
      <w:r w:rsidR="00E60ED2" w:rsidRPr="0095533F">
        <w:rPr>
          <w:rStyle w:val="A1"/>
          <w:rFonts w:ascii="Book Antiqua" w:hAnsi="Book Antiqua"/>
          <w:b/>
          <w:sz w:val="24"/>
          <w:szCs w:val="24"/>
          <w:u w:val="single"/>
        </w:rPr>
        <w:t>a cultura Gitana-</w:t>
      </w:r>
      <w:proofErr w:type="spellStart"/>
      <w:r w:rsidR="00E60ED2" w:rsidRPr="0095533F">
        <w:rPr>
          <w:rStyle w:val="A1"/>
          <w:rFonts w:ascii="Book Antiqua" w:hAnsi="Book Antiqua"/>
          <w:b/>
          <w:sz w:val="24"/>
          <w:szCs w:val="24"/>
          <w:u w:val="single"/>
        </w:rPr>
        <w:t>Rom</w:t>
      </w:r>
      <w:proofErr w:type="spellEnd"/>
      <w:r w:rsidR="00E60ED2" w:rsidRPr="0095533F">
        <w:rPr>
          <w:rStyle w:val="A1"/>
          <w:rFonts w:ascii="Book Antiqua" w:hAnsi="Book Antiqua"/>
          <w:b/>
          <w:sz w:val="24"/>
          <w:szCs w:val="24"/>
          <w:u w:val="single"/>
        </w:rPr>
        <w:t xml:space="preserve"> en la provincia de Buenos Aires y la situación de discriminación estructural contra las personas pertenecientes a esa cultura.</w:t>
      </w:r>
    </w:p>
    <w:p w:rsidR="00E60ED2" w:rsidRPr="0095533F" w:rsidRDefault="00E60ED2" w:rsidP="003B42CC">
      <w:pPr>
        <w:spacing w:before="100" w:beforeAutospacing="1" w:after="120"/>
        <w:ind w:firstLine="567"/>
        <w:contextualSpacing/>
        <w:rPr>
          <w:rFonts w:ascii="Book Antiqua" w:hAnsi="Book Antiqua"/>
          <w:lang w:eastAsia="es-AR"/>
        </w:rPr>
      </w:pPr>
      <w:r w:rsidRPr="0095533F">
        <w:rPr>
          <w:rFonts w:ascii="Book Antiqua" w:hAnsi="Book Antiqua"/>
        </w:rPr>
        <w:t xml:space="preserve">Los investigadores de distintas disciplinas no lograron un consenso absoluto respecto del origen histórico de los pueblos </w:t>
      </w:r>
      <w:proofErr w:type="spellStart"/>
      <w:r w:rsidRPr="0095533F">
        <w:rPr>
          <w:rFonts w:ascii="Book Antiqua" w:hAnsi="Book Antiqua"/>
        </w:rPr>
        <w:t>rom</w:t>
      </w:r>
      <w:proofErr w:type="spellEnd"/>
      <w:r w:rsidRPr="0095533F">
        <w:rPr>
          <w:rFonts w:ascii="Book Antiqua" w:hAnsi="Book Antiqua"/>
        </w:rPr>
        <w:t xml:space="preserve">. No obstante, la mayoría de los </w:t>
      </w:r>
      <w:proofErr w:type="spellStart"/>
      <w:r w:rsidRPr="0095533F">
        <w:rPr>
          <w:rFonts w:ascii="Book Antiqua" w:hAnsi="Book Antiqua"/>
        </w:rPr>
        <w:t>gitanólogos</w:t>
      </w:r>
      <w:proofErr w:type="spellEnd"/>
      <w:r w:rsidRPr="0095533F">
        <w:rPr>
          <w:rFonts w:ascii="Book Antiqua" w:hAnsi="Book Antiqua"/>
        </w:rPr>
        <w:t xml:space="preserve"> coinciden en que su </w:t>
      </w:r>
      <w:r w:rsidR="000B5E9C" w:rsidRPr="0095533F">
        <w:rPr>
          <w:rFonts w:ascii="Book Antiqua" w:hAnsi="Book Antiqua"/>
        </w:rPr>
        <w:t>origen puede</w:t>
      </w:r>
      <w:r w:rsidRPr="0095533F">
        <w:rPr>
          <w:rFonts w:ascii="Book Antiqua" w:hAnsi="Book Antiqua"/>
        </w:rPr>
        <w:t xml:space="preserve"> ser rastreado hasta la India y su trayectoria se ha proyectado, a lo largo de más de una decena de siglos, transnacionalmente. Ello puede guardar relación con las propias formas de auto-identificación, las cuales varían entre </w:t>
      </w:r>
      <w:proofErr w:type="spellStart"/>
      <w:r w:rsidRPr="0095533F">
        <w:rPr>
          <w:rFonts w:ascii="Book Antiqua" w:hAnsi="Book Antiqua"/>
        </w:rPr>
        <w:t>rom</w:t>
      </w:r>
      <w:proofErr w:type="spellEnd"/>
      <w:r w:rsidRPr="0095533F">
        <w:rPr>
          <w:rFonts w:ascii="Book Antiqua" w:hAnsi="Book Antiqua"/>
        </w:rPr>
        <w:t xml:space="preserve">/ </w:t>
      </w:r>
      <w:proofErr w:type="spellStart"/>
      <w:r w:rsidRPr="0095533F">
        <w:rPr>
          <w:rFonts w:ascii="Book Antiqua" w:hAnsi="Book Antiqua"/>
        </w:rPr>
        <w:t>romà</w:t>
      </w:r>
      <w:proofErr w:type="spellEnd"/>
      <w:r w:rsidRPr="0095533F">
        <w:rPr>
          <w:rFonts w:ascii="Book Antiqua" w:hAnsi="Book Antiqua"/>
        </w:rPr>
        <w:t xml:space="preserve">/ romaní/ </w:t>
      </w:r>
      <w:proofErr w:type="spellStart"/>
      <w:r w:rsidRPr="0095533F">
        <w:rPr>
          <w:rFonts w:ascii="Book Antiqua" w:hAnsi="Book Antiqua"/>
        </w:rPr>
        <w:t>dom</w:t>
      </w:r>
      <w:proofErr w:type="spellEnd"/>
      <w:r w:rsidRPr="0095533F">
        <w:rPr>
          <w:rFonts w:ascii="Book Antiqua" w:hAnsi="Book Antiqua"/>
        </w:rPr>
        <w:t xml:space="preserve">/ </w:t>
      </w:r>
      <w:proofErr w:type="spellStart"/>
      <w:r w:rsidRPr="0095533F">
        <w:rPr>
          <w:rFonts w:ascii="Book Antiqua" w:hAnsi="Book Antiqua"/>
        </w:rPr>
        <w:t>lom</w:t>
      </w:r>
      <w:proofErr w:type="spellEnd"/>
      <w:r w:rsidRPr="0095533F">
        <w:rPr>
          <w:rFonts w:ascii="Book Antiqua" w:hAnsi="Book Antiqua"/>
        </w:rPr>
        <w:t xml:space="preserve">/ gitanos. El ingreso de los pueblos </w:t>
      </w:r>
      <w:proofErr w:type="spellStart"/>
      <w:r w:rsidRPr="0095533F">
        <w:rPr>
          <w:rFonts w:ascii="Book Antiqua" w:hAnsi="Book Antiqua"/>
        </w:rPr>
        <w:t>rom</w:t>
      </w:r>
      <w:proofErr w:type="spellEnd"/>
      <w:r w:rsidRPr="0095533F">
        <w:rPr>
          <w:rFonts w:ascii="Book Antiqua" w:hAnsi="Book Antiqua"/>
        </w:rPr>
        <w:t xml:space="preserve"> a Europa se realizó a través de la parte sud</w:t>
      </w:r>
      <w:r w:rsidR="000B5E9C" w:rsidRPr="0095533F">
        <w:rPr>
          <w:rFonts w:ascii="Book Antiqua" w:hAnsi="Book Antiqua"/>
        </w:rPr>
        <w:t>e</w:t>
      </w:r>
      <w:r w:rsidRPr="0095533F">
        <w:rPr>
          <w:rFonts w:ascii="Book Antiqua" w:hAnsi="Book Antiqua"/>
        </w:rPr>
        <w:t>st</w:t>
      </w:r>
      <w:r w:rsidR="000B5E9C" w:rsidRPr="0095533F">
        <w:rPr>
          <w:rFonts w:ascii="Book Antiqua" w:hAnsi="Book Antiqua"/>
        </w:rPr>
        <w:t>e</w:t>
      </w:r>
      <w:r w:rsidRPr="0095533F">
        <w:rPr>
          <w:rFonts w:ascii="Book Antiqua" w:hAnsi="Book Antiqua"/>
        </w:rPr>
        <w:t xml:space="preserve"> del continente, lo cual explica que países como Rumania sean los que más ciudadanos gitanos tengan en la actualidad. Las investigaciones sociales muestran que en los pueblos </w:t>
      </w:r>
      <w:proofErr w:type="spellStart"/>
      <w:r w:rsidRPr="0095533F">
        <w:rPr>
          <w:rFonts w:ascii="Book Antiqua" w:hAnsi="Book Antiqua"/>
        </w:rPr>
        <w:t>rom</w:t>
      </w:r>
      <w:proofErr w:type="spellEnd"/>
      <w:r w:rsidRPr="0095533F">
        <w:rPr>
          <w:rFonts w:ascii="Book Antiqua" w:hAnsi="Book Antiqua"/>
        </w:rPr>
        <w:t xml:space="preserve"> prevalecen oficios como acróbatas, comerciantes, músicos y metalúrgicos, que clasifican (en sentido estricto y también de clases) las distintas comunidades dentro de las poblaciones gitanas. La existencia de una cultura propia </w:t>
      </w:r>
      <w:r w:rsidRPr="0095533F">
        <w:rPr>
          <w:rFonts w:ascii="Book Antiqua" w:hAnsi="Book Antiqua"/>
        </w:rPr>
        <w:lastRenderedPageBreak/>
        <w:t xml:space="preserve">gitana se encuentra consolidada a partir de características específicas de su organización social, sus sistemas de producción/ subsistencia y sus representaciones simbólicas. En efecto, se ha sostenido que </w:t>
      </w:r>
      <w:r w:rsidRPr="0095533F">
        <w:rPr>
          <w:rFonts w:ascii="Book Antiqua" w:hAnsi="Book Antiqua"/>
          <w:i/>
        </w:rPr>
        <w:t>“un análisis sociológico y antropológico minucioso permite definir al grupo gitano como un colectivo culturalmente diferenciado (...). Este sistema cultural incorpora como principales elementos una estructura social interna (que incluye determinados mecanismos de organización, participación y representación), un sistema de valores (de raíz oriental, inspirado en la lógica simbólica y en una concepción peculiar de los fenómenos naturales y que se desarrolla mediante un rico panorama de costumbres, rituales y tradiciones) y el idioma gitano (de raíz milenaria, derivado del sánscrito)”</w:t>
      </w:r>
      <w:r w:rsidRPr="0095533F">
        <w:rPr>
          <w:rStyle w:val="Refdenotaalpie"/>
          <w:rFonts w:ascii="Book Antiqua" w:hAnsi="Book Antiqua"/>
          <w:i/>
        </w:rPr>
        <w:footnoteReference w:id="10"/>
      </w:r>
      <w:r w:rsidRPr="0095533F">
        <w:rPr>
          <w:rFonts w:ascii="Book Antiqua" w:hAnsi="Book Antiqua"/>
        </w:rPr>
        <w:t>. Actualmente, unas 300.000 personas de origen gitano residen en la Argentina, de los cuales 20.000 están establecidos en la Ciudad de Buenos Aires y otros 50.000 en el conurbano bonaerense</w:t>
      </w:r>
      <w:r w:rsidRPr="0095533F">
        <w:rPr>
          <w:rStyle w:val="Refdenotaalpie"/>
          <w:rFonts w:ascii="Book Antiqua" w:hAnsi="Book Antiqua"/>
        </w:rPr>
        <w:footnoteReference w:id="11"/>
      </w:r>
      <w:r w:rsidRPr="0095533F">
        <w:rPr>
          <w:rFonts w:ascii="Book Antiqua" w:hAnsi="Book Antiqua"/>
        </w:rPr>
        <w:t xml:space="preserve">. </w:t>
      </w:r>
    </w:p>
    <w:p w:rsidR="00E60ED2" w:rsidRPr="0095533F" w:rsidRDefault="00E60ED2" w:rsidP="003B42CC">
      <w:pPr>
        <w:spacing w:before="100" w:beforeAutospacing="1" w:after="120"/>
        <w:ind w:firstLine="567"/>
        <w:contextualSpacing/>
        <w:rPr>
          <w:rFonts w:ascii="Book Antiqua" w:hAnsi="Book Antiqua"/>
        </w:rPr>
      </w:pPr>
      <w:r w:rsidRPr="0095533F">
        <w:rPr>
          <w:rFonts w:ascii="Book Antiqua" w:hAnsi="Book Antiqua"/>
        </w:rPr>
        <w:t xml:space="preserve">En relación a esta especificidad étnica, profesionales estudiosos de la cuestión de la cultura Gitana han sostenido la noción que </w:t>
      </w:r>
      <w:r w:rsidRPr="0095533F">
        <w:rPr>
          <w:rFonts w:ascii="Book Antiqua" w:hAnsi="Book Antiqua"/>
          <w:i/>
        </w:rPr>
        <w:t xml:space="preserve">“el pueblo gitano (…) tiende a insistir en una multiplicidad </w:t>
      </w:r>
      <w:proofErr w:type="spellStart"/>
      <w:r w:rsidRPr="0095533F">
        <w:rPr>
          <w:rFonts w:ascii="Book Antiqua" w:hAnsi="Book Antiqua"/>
          <w:i/>
        </w:rPr>
        <w:t>identitaria</w:t>
      </w:r>
      <w:proofErr w:type="spellEnd"/>
      <w:r w:rsidRPr="0095533F">
        <w:rPr>
          <w:rFonts w:ascii="Book Antiqua" w:hAnsi="Book Antiqua"/>
          <w:i/>
        </w:rPr>
        <w:t xml:space="preserve"> que se expresa en la profunda intención y convicción de ser parte del Estado-Nación que habita, a la vez que continúa siendo parte de una cultura específica, con una lengua específica y una tradición propia. El Estado-Nación moderno necesita reducir la identidad a uno solo de sus elementos. Es por ello que aquellos que poseen y reafirman “identidades múltiples” -como gitanos y judíos- se transforman en uno de los sujetos fundamentales de persecución. </w:t>
      </w:r>
      <w:r w:rsidRPr="0095533F">
        <w:rPr>
          <w:rFonts w:ascii="Book Antiqua" w:hAnsi="Book Antiqua"/>
          <w:b/>
          <w:i/>
        </w:rPr>
        <w:t>Pero esta persecución no es casual y no responde a algo que no se conoce, sino que se los persigue por lo que son, por su insistencia en sostener una cultura que pueda convivir y mestizarse y convertirse en parte de la cultura ciudadana de los territorios que habitan,</w:t>
      </w:r>
      <w:r w:rsidRPr="0095533F">
        <w:rPr>
          <w:rFonts w:ascii="Book Antiqua" w:hAnsi="Book Antiqua"/>
          <w:i/>
        </w:rPr>
        <w:t xml:space="preserve"> por esa insistencia en mantener </w:t>
      </w:r>
      <w:r w:rsidRPr="0095533F">
        <w:rPr>
          <w:rFonts w:ascii="Book Antiqua" w:hAnsi="Book Antiqua"/>
          <w:i/>
        </w:rPr>
        <w:lastRenderedPageBreak/>
        <w:t>una identidad que no era pensada como una Identidad Territorial Nacional, sino como una identidad cultural” (el resaltado nos pertenece)</w:t>
      </w:r>
      <w:r w:rsidRPr="0095533F">
        <w:rPr>
          <w:rStyle w:val="Refdenotaalpie"/>
          <w:rFonts w:ascii="Book Antiqua" w:hAnsi="Book Antiqua"/>
          <w:i/>
        </w:rPr>
        <w:footnoteReference w:id="12"/>
      </w:r>
      <w:r w:rsidRPr="0095533F">
        <w:rPr>
          <w:rFonts w:ascii="Book Antiqua" w:hAnsi="Book Antiqua"/>
        </w:rPr>
        <w:t>.</w:t>
      </w:r>
    </w:p>
    <w:p w:rsidR="00E60ED2" w:rsidRPr="0095533F" w:rsidRDefault="00E60ED2" w:rsidP="003B42CC">
      <w:pPr>
        <w:spacing w:before="100" w:beforeAutospacing="1" w:after="120"/>
        <w:ind w:firstLine="567"/>
        <w:contextualSpacing/>
        <w:rPr>
          <w:rFonts w:ascii="Book Antiqua" w:hAnsi="Book Antiqua"/>
        </w:rPr>
      </w:pPr>
      <w:r w:rsidRPr="0095533F">
        <w:rPr>
          <w:rFonts w:ascii="Book Antiqua" w:hAnsi="Book Antiqua"/>
        </w:rPr>
        <w:t xml:space="preserve">Otro estudio ha concluido acerca de la condición de colectivo discriminado del pueblo gitano. Así, se ha sostenido que </w:t>
      </w:r>
      <w:r w:rsidRPr="0095533F">
        <w:rPr>
          <w:rFonts w:ascii="Book Antiqua" w:hAnsi="Book Antiqua"/>
          <w:b/>
        </w:rPr>
        <w:t xml:space="preserve">“a pesar del tiempo transcurrido y del contacto intercultural milenario del pueblo </w:t>
      </w:r>
      <w:proofErr w:type="spellStart"/>
      <w:r w:rsidRPr="0095533F">
        <w:rPr>
          <w:rFonts w:ascii="Book Antiqua" w:hAnsi="Book Antiqua"/>
          <w:b/>
        </w:rPr>
        <w:t>rom</w:t>
      </w:r>
      <w:proofErr w:type="spellEnd"/>
      <w:r w:rsidRPr="0095533F">
        <w:rPr>
          <w:rFonts w:ascii="Book Antiqua" w:hAnsi="Book Antiqua"/>
          <w:b/>
        </w:rPr>
        <w:t xml:space="preserve"> con las sociedades que lo han hospedado, la xenofobia “</w:t>
      </w:r>
      <w:proofErr w:type="spellStart"/>
      <w:r w:rsidRPr="0095533F">
        <w:rPr>
          <w:rFonts w:ascii="Book Antiqua" w:hAnsi="Book Antiqua"/>
          <w:b/>
        </w:rPr>
        <w:t>antirom</w:t>
      </w:r>
      <w:proofErr w:type="spellEnd"/>
      <w:r w:rsidRPr="0095533F">
        <w:rPr>
          <w:rFonts w:ascii="Book Antiqua" w:hAnsi="Book Antiqua"/>
          <w:b/>
        </w:rPr>
        <w:t>” continúa viva</w:t>
      </w:r>
      <w:r w:rsidRPr="0095533F">
        <w:rPr>
          <w:rFonts w:ascii="Book Antiqua" w:hAnsi="Book Antiqua"/>
        </w:rPr>
        <w:t>. Tanto es así, que cualquiera que hoy por hoy se aventure en la tarea de indagar nuestro sentido común –el reservorio de símbolos sociales que orienta, en el día a día, nuestra vida colectiva (</w:t>
      </w:r>
      <w:proofErr w:type="spellStart"/>
      <w:r w:rsidRPr="0095533F">
        <w:rPr>
          <w:rFonts w:ascii="Book Antiqua" w:hAnsi="Book Antiqua"/>
        </w:rPr>
        <w:t>Schutz</w:t>
      </w:r>
      <w:proofErr w:type="spellEnd"/>
      <w:r w:rsidRPr="0095533F">
        <w:rPr>
          <w:rFonts w:ascii="Book Antiqua" w:hAnsi="Book Antiqua"/>
        </w:rPr>
        <w:t>, 1974</w:t>
      </w:r>
      <w:proofErr w:type="gramStart"/>
      <w:r w:rsidRPr="0095533F">
        <w:rPr>
          <w:rFonts w:ascii="Book Antiqua" w:hAnsi="Book Antiqua"/>
        </w:rPr>
        <w:t>)–</w:t>
      </w:r>
      <w:proofErr w:type="gramEnd"/>
      <w:r w:rsidRPr="0095533F">
        <w:rPr>
          <w:rFonts w:ascii="Book Antiqua" w:hAnsi="Book Antiqua"/>
        </w:rPr>
        <w:t xml:space="preserve">, seguramente “oiga” los ecos de aquel vetusto proceso de persecución. Estereotipos tales como </w:t>
      </w:r>
      <w:r w:rsidRPr="0095533F">
        <w:rPr>
          <w:rFonts w:ascii="Book Antiqua" w:hAnsi="Book Antiqua"/>
          <w:i/>
        </w:rPr>
        <w:t>“los gitanos roban niños”</w:t>
      </w:r>
      <w:r w:rsidRPr="0095533F">
        <w:rPr>
          <w:rFonts w:ascii="Book Antiqua" w:hAnsi="Book Antiqua"/>
        </w:rPr>
        <w:t xml:space="preserve">, </w:t>
      </w:r>
      <w:r w:rsidRPr="0095533F">
        <w:rPr>
          <w:rFonts w:ascii="Book Antiqua" w:hAnsi="Book Antiqua"/>
          <w:i/>
        </w:rPr>
        <w:t>“se los comen”</w:t>
      </w:r>
      <w:r w:rsidRPr="0095533F">
        <w:rPr>
          <w:rFonts w:ascii="Book Antiqua" w:hAnsi="Book Antiqua"/>
        </w:rPr>
        <w:t xml:space="preserve">, </w:t>
      </w:r>
      <w:r w:rsidRPr="0095533F">
        <w:rPr>
          <w:rFonts w:ascii="Book Antiqua" w:hAnsi="Book Antiqua"/>
          <w:i/>
        </w:rPr>
        <w:t>“las mujeres gitanas hacen brujerías”</w:t>
      </w:r>
      <w:r w:rsidRPr="0095533F">
        <w:rPr>
          <w:rFonts w:ascii="Book Antiqua" w:hAnsi="Book Antiqua"/>
        </w:rPr>
        <w:t xml:space="preserve">, </w:t>
      </w:r>
      <w:r w:rsidRPr="0095533F">
        <w:rPr>
          <w:rFonts w:ascii="Book Antiqua" w:hAnsi="Book Antiqua"/>
          <w:i/>
        </w:rPr>
        <w:t>“los gitanos son ladrones, estafadores o poco confiables”</w:t>
      </w:r>
      <w:r w:rsidRPr="0095533F">
        <w:rPr>
          <w:rFonts w:ascii="Book Antiqua" w:hAnsi="Book Antiqua"/>
        </w:rPr>
        <w:t xml:space="preserve">, </w:t>
      </w:r>
      <w:r w:rsidRPr="0095533F">
        <w:rPr>
          <w:rFonts w:ascii="Book Antiqua" w:hAnsi="Book Antiqua"/>
          <w:i/>
        </w:rPr>
        <w:t>“son antisociales”</w:t>
      </w:r>
      <w:r w:rsidRPr="0095533F">
        <w:rPr>
          <w:rFonts w:ascii="Book Antiqua" w:hAnsi="Book Antiqua"/>
        </w:rPr>
        <w:t xml:space="preserve">, </w:t>
      </w:r>
      <w:r w:rsidRPr="0095533F">
        <w:rPr>
          <w:rFonts w:ascii="Book Antiqua" w:hAnsi="Book Antiqua"/>
          <w:i/>
        </w:rPr>
        <w:t>“perezosos”</w:t>
      </w:r>
      <w:r w:rsidRPr="0095533F">
        <w:rPr>
          <w:rFonts w:ascii="Book Antiqua" w:hAnsi="Book Antiqua"/>
        </w:rPr>
        <w:t xml:space="preserve">, </w:t>
      </w:r>
      <w:r w:rsidRPr="0095533F">
        <w:rPr>
          <w:rFonts w:ascii="Book Antiqua" w:hAnsi="Book Antiqua"/>
          <w:i/>
        </w:rPr>
        <w:t>“peligrosos”</w:t>
      </w:r>
      <w:r w:rsidRPr="0095533F">
        <w:rPr>
          <w:rFonts w:ascii="Book Antiqua" w:hAnsi="Book Antiqua"/>
        </w:rPr>
        <w:t xml:space="preserve">, </w:t>
      </w:r>
      <w:r w:rsidRPr="0095533F">
        <w:rPr>
          <w:rFonts w:ascii="Book Antiqua" w:hAnsi="Book Antiqua"/>
          <w:i/>
        </w:rPr>
        <w:t>“sectarios”, etc. dan cuenta de ello. Según surge del Mapa Nacional de la Discriminación elaborado en 2013 por el INADI (Instituto Nacional contra la Discriminación, la Xenofobia y el Racismo), las personas identificadas como gitanos/as constituyen el grupo que recibió los mayores niveles de representaciones negativas por parte de los/as entrevistados/as. Es decir que se trata del grupo que se percibe como el más discriminado y rechazado en nuestra sociedad actual”</w:t>
      </w:r>
      <w:r w:rsidRPr="0095533F">
        <w:rPr>
          <w:rStyle w:val="Refdenotaalpie"/>
          <w:rFonts w:ascii="Book Antiqua" w:hAnsi="Book Antiqua"/>
        </w:rPr>
        <w:footnoteReference w:id="13"/>
      </w:r>
      <w:r w:rsidRPr="0095533F">
        <w:rPr>
          <w:rFonts w:ascii="Book Antiqua" w:hAnsi="Book Antiqua"/>
        </w:rPr>
        <w:t>.</w:t>
      </w:r>
    </w:p>
    <w:p w:rsidR="00E60ED2" w:rsidRPr="0095533F" w:rsidRDefault="00E60ED2" w:rsidP="003B42CC">
      <w:pPr>
        <w:spacing w:before="100" w:beforeAutospacing="1" w:after="120"/>
        <w:ind w:firstLine="567"/>
        <w:contextualSpacing/>
        <w:rPr>
          <w:rFonts w:ascii="Book Antiqua" w:hAnsi="Book Antiqua"/>
        </w:rPr>
      </w:pPr>
      <w:r w:rsidRPr="0095533F">
        <w:rPr>
          <w:rFonts w:ascii="Book Antiqua" w:hAnsi="Book Antiqua"/>
        </w:rPr>
        <w:t xml:space="preserve">A la vez, se ha puesto de relieve los múltiples obstáculos en el acceso a la justicia ya que </w:t>
      </w:r>
      <w:r w:rsidRPr="0095533F">
        <w:rPr>
          <w:rFonts w:ascii="Book Antiqua" w:hAnsi="Book Antiqua"/>
          <w:i/>
        </w:rPr>
        <w:t xml:space="preserve">“por lo general, la minoría que aún practica la tradición nómade vive en el interior del país y está, desafortunadamente, asociada a niveles de pobreza profundos y estructurales, que entorpecen el acceso a derechos, a la vez que dan cuenta de la existencia de una fuerte estratificación de clase al interior de la propia comunidad </w:t>
      </w:r>
      <w:proofErr w:type="spellStart"/>
      <w:r w:rsidRPr="0095533F">
        <w:rPr>
          <w:rFonts w:ascii="Book Antiqua" w:hAnsi="Book Antiqua"/>
          <w:i/>
        </w:rPr>
        <w:t>rom</w:t>
      </w:r>
      <w:proofErr w:type="spellEnd"/>
      <w:r w:rsidRPr="0095533F">
        <w:rPr>
          <w:rFonts w:ascii="Book Antiqua" w:hAnsi="Book Antiqua"/>
          <w:i/>
        </w:rPr>
        <w:t>”</w:t>
      </w:r>
      <w:r w:rsidRPr="0095533F">
        <w:rPr>
          <w:rStyle w:val="Refdenotaalpie"/>
          <w:rFonts w:ascii="Book Antiqua" w:hAnsi="Book Antiqua"/>
        </w:rPr>
        <w:footnoteReference w:id="14"/>
      </w:r>
      <w:r w:rsidRPr="0095533F">
        <w:rPr>
          <w:rFonts w:ascii="Book Antiqua" w:hAnsi="Book Antiqua"/>
        </w:rPr>
        <w:t xml:space="preserve">.  </w:t>
      </w:r>
    </w:p>
    <w:p w:rsidR="00E60ED2" w:rsidRPr="0095533F" w:rsidRDefault="00E60ED2" w:rsidP="003B42CC">
      <w:pPr>
        <w:spacing w:before="100" w:beforeAutospacing="1" w:after="120"/>
        <w:ind w:firstLine="567"/>
        <w:contextualSpacing/>
        <w:rPr>
          <w:rFonts w:ascii="Book Antiqua" w:hAnsi="Book Antiqua"/>
        </w:rPr>
      </w:pPr>
      <w:r w:rsidRPr="0095533F">
        <w:rPr>
          <w:rFonts w:ascii="Book Antiqua" w:hAnsi="Book Antiqua"/>
        </w:rPr>
        <w:t xml:space="preserve">También, se ha destacado el género como condición de vulnerabilidad aún mayor, en tanto que </w:t>
      </w:r>
      <w:r w:rsidRPr="0095533F">
        <w:rPr>
          <w:rFonts w:ascii="Book Antiqua" w:hAnsi="Book Antiqua"/>
          <w:i/>
        </w:rPr>
        <w:t xml:space="preserve">“la discriminación de género que atraviesa a todas y cada una de las mujeres que así se identifican (tanto por </w:t>
      </w:r>
      <w:proofErr w:type="spellStart"/>
      <w:r w:rsidRPr="0095533F">
        <w:rPr>
          <w:rFonts w:ascii="Book Antiqua" w:hAnsi="Book Antiqua"/>
          <w:i/>
        </w:rPr>
        <w:t>autopercibirse</w:t>
      </w:r>
      <w:proofErr w:type="spellEnd"/>
      <w:r w:rsidRPr="0095533F">
        <w:rPr>
          <w:rFonts w:ascii="Book Antiqua" w:hAnsi="Book Antiqua"/>
          <w:i/>
        </w:rPr>
        <w:t xml:space="preserve"> en tanto tales, como por cómo las perciben las demás personas) y que implica complejas relaciones de violencia y desigualdad, atraviesa también a las mujeres gitanas. Este atravesamiento de la desigualdad de género se juega en una doble dirección, desde grupo occidental y desde su propio grupo gitano (...) </w:t>
      </w:r>
      <w:r w:rsidRPr="0095533F">
        <w:rPr>
          <w:rFonts w:ascii="Book Antiqua" w:hAnsi="Book Antiqua"/>
          <w:b/>
          <w:i/>
        </w:rPr>
        <w:t xml:space="preserve">No </w:t>
      </w:r>
      <w:r w:rsidRPr="0095533F">
        <w:rPr>
          <w:rFonts w:ascii="Book Antiqua" w:hAnsi="Book Antiqua"/>
          <w:b/>
          <w:i/>
        </w:rPr>
        <w:lastRenderedPageBreak/>
        <w:t>es un dato menor que sean las menos alfabetizadas y las que más baja expectativa de vida tienen dentro de su comunidad.</w:t>
      </w:r>
      <w:r w:rsidRPr="0095533F">
        <w:rPr>
          <w:rFonts w:ascii="Book Antiqua" w:hAnsi="Book Antiqua"/>
          <w:i/>
        </w:rPr>
        <w:t xml:space="preserve"> Tampoco lo es el alto nivel de violencia de género que viven al interior de sus grupos familiares, garantizado por las rígidas estructuras sociales </w:t>
      </w:r>
      <w:proofErr w:type="spellStart"/>
      <w:r w:rsidRPr="0095533F">
        <w:rPr>
          <w:rFonts w:ascii="Book Antiqua" w:hAnsi="Book Antiqua"/>
          <w:i/>
        </w:rPr>
        <w:t>rom</w:t>
      </w:r>
      <w:proofErr w:type="spellEnd"/>
      <w:r w:rsidRPr="0095533F">
        <w:rPr>
          <w:rFonts w:ascii="Book Antiqua" w:hAnsi="Book Antiqua"/>
          <w:i/>
        </w:rPr>
        <w:t>, de corte androcéntrico”</w:t>
      </w:r>
      <w:r w:rsidRPr="0095533F">
        <w:rPr>
          <w:rStyle w:val="Refdenotaalpie"/>
          <w:rFonts w:ascii="Book Antiqua" w:hAnsi="Book Antiqua"/>
        </w:rPr>
        <w:footnoteReference w:id="15"/>
      </w:r>
      <w:r w:rsidRPr="0095533F">
        <w:rPr>
          <w:rFonts w:ascii="Book Antiqua" w:hAnsi="Book Antiqua"/>
        </w:rPr>
        <w:t>.</w:t>
      </w:r>
    </w:p>
    <w:p w:rsidR="00E60ED2" w:rsidRPr="006A0D74" w:rsidRDefault="00E60ED2" w:rsidP="006A0D74">
      <w:pPr>
        <w:spacing w:before="100" w:beforeAutospacing="1" w:after="120"/>
        <w:ind w:firstLine="567"/>
        <w:contextualSpacing/>
        <w:rPr>
          <w:rFonts w:ascii="Book Antiqua" w:hAnsi="Book Antiqua"/>
        </w:rPr>
      </w:pPr>
      <w:r w:rsidRPr="0095533F">
        <w:rPr>
          <w:rFonts w:ascii="Book Antiqua" w:hAnsi="Book Antiqua"/>
        </w:rPr>
        <w:t>Por lo expuesto, puede afirmarse que en la actualidad se considera que las personas pertenecientes a la cultura gitana, en tanto colectivo étnico especifico, son objeto de una discriminación de carácter estructural, que atraviesa los diferentes aspectos de la sociabilidad. Se destaca así el ámbito educativo como uno de los espacios fundamentales de discriminación, máxime cuando la identidad gitana queda al descubierto, lo cual opera como causa de deserción escolar, al generar una contradicción entre la preservación de la identidad y la continuidad de la escolarización</w:t>
      </w:r>
      <w:r w:rsidRPr="0095533F">
        <w:rPr>
          <w:rStyle w:val="Refdenotaalpie"/>
          <w:rFonts w:ascii="Book Antiqua" w:hAnsi="Book Antiqua"/>
          <w:shd w:val="clear" w:color="auto" w:fill="FFFFFF"/>
        </w:rPr>
        <w:footnoteReference w:id="16"/>
      </w:r>
      <w:r w:rsidRPr="0095533F">
        <w:rPr>
          <w:rFonts w:ascii="Book Antiqua" w:hAnsi="Book Antiqua"/>
          <w:color w:val="000000"/>
          <w:shd w:val="clear" w:color="auto" w:fill="FFFFFF"/>
        </w:rPr>
        <w:t xml:space="preserve">. </w:t>
      </w:r>
      <w:r w:rsidRPr="0095533F">
        <w:rPr>
          <w:rFonts w:ascii="Book Antiqua" w:hAnsi="Book Antiqua"/>
        </w:rPr>
        <w:t xml:space="preserve">También señalan dificultades en el acceso a la salud, particularmente por la discriminación sufrida en hospitales y centros de salud por parte del personal hospitalario, por lo que, a criterio del Instituto Nacional contra la Discriminación, la Xenofobia y el Racismo, se sugerido, como parte de avanzar hacia un plan nacional contra la discriminación, que </w:t>
      </w:r>
      <w:r w:rsidRPr="0095533F">
        <w:rPr>
          <w:rFonts w:ascii="Book Antiqua" w:hAnsi="Book Antiqua"/>
          <w:i/>
        </w:rPr>
        <w:t xml:space="preserve">“resulta fundamental encarar una política dirigida a su inclusión y acompañamiento en el desarrollo escolar y en las políticas de salud, tanto a través de intérpretes (para aquellos niños que hablan </w:t>
      </w:r>
      <w:proofErr w:type="spellStart"/>
      <w:r w:rsidRPr="0095533F">
        <w:rPr>
          <w:rFonts w:ascii="Book Antiqua" w:hAnsi="Book Antiqua"/>
          <w:i/>
        </w:rPr>
        <w:t>romanés</w:t>
      </w:r>
      <w:proofErr w:type="spellEnd"/>
      <w:r w:rsidRPr="0095533F">
        <w:rPr>
          <w:rFonts w:ascii="Book Antiqua" w:hAnsi="Book Antiqua"/>
          <w:i/>
        </w:rPr>
        <w:t xml:space="preserve"> o rumano, en escuelas con fuerte presencia gitana; para los hospitales o centros de salud cercanos a regiones con importante población gitana) como con actividades de formación del personal docente y autoridades, a fin de conocer las peculiaridades de la identidad gitana y desarticular muchos prejuicios presentes en estos ámbitos”</w:t>
      </w:r>
      <w:r w:rsidRPr="0095533F">
        <w:rPr>
          <w:rStyle w:val="Refdenotaalpie"/>
          <w:rFonts w:ascii="Book Antiqua" w:hAnsi="Book Antiqua"/>
        </w:rPr>
        <w:footnoteReference w:id="17"/>
      </w:r>
      <w:r w:rsidRPr="0095533F">
        <w:rPr>
          <w:rFonts w:ascii="Book Antiqua" w:hAnsi="Book Antiqua"/>
        </w:rPr>
        <w:t>.</w:t>
      </w:r>
      <w:r w:rsidRPr="0095533F">
        <w:rPr>
          <w:rFonts w:ascii="Book Antiqua" w:hAnsi="Book Antiqua"/>
          <w:color w:val="000000"/>
          <w:shd w:val="clear" w:color="auto" w:fill="FFFFFF"/>
        </w:rPr>
        <w:t xml:space="preserve"> </w:t>
      </w:r>
    </w:p>
    <w:p w:rsidR="00E60ED2" w:rsidRPr="0095533F" w:rsidRDefault="00E60ED2" w:rsidP="003B42CC">
      <w:pPr>
        <w:spacing w:before="100" w:beforeAutospacing="1" w:after="120"/>
        <w:ind w:firstLine="567"/>
        <w:contextualSpacing/>
        <w:rPr>
          <w:rFonts w:ascii="Book Antiqua" w:hAnsi="Book Antiqua"/>
          <w:color w:val="000000"/>
          <w:shd w:val="clear" w:color="auto" w:fill="FFFFFF"/>
        </w:rPr>
      </w:pPr>
      <w:r w:rsidRPr="0095533F">
        <w:rPr>
          <w:rFonts w:ascii="Book Antiqua" w:hAnsi="Book Antiqua"/>
          <w:color w:val="000000"/>
          <w:shd w:val="clear" w:color="auto" w:fill="FFFFFF"/>
        </w:rPr>
        <w:t xml:space="preserve">Esto último por supuesto es extensible al ámbito de la administración de justicia y los operadores judiciales en general. A la vez, </w:t>
      </w:r>
      <w:r w:rsidRPr="0095533F">
        <w:rPr>
          <w:rFonts w:ascii="Book Antiqua" w:hAnsi="Book Antiqua"/>
          <w:b/>
          <w:color w:val="000000"/>
          <w:shd w:val="clear" w:color="auto" w:fill="FFFFFF"/>
        </w:rPr>
        <w:t>resulta necesario para comprender como esta condición de víctima de discriminación estructural, determina el perfil del proceso de socialización primaria cuya consideración es imprescindible para la determinación de factores culturales de condicionamiento de la conducta</w:t>
      </w:r>
      <w:r w:rsidRPr="0095533F">
        <w:rPr>
          <w:rFonts w:ascii="Book Antiqua" w:hAnsi="Book Antiqua"/>
          <w:color w:val="000000"/>
          <w:shd w:val="clear" w:color="auto" w:fill="FFFFFF"/>
        </w:rPr>
        <w:t xml:space="preserve"> de las personas pertenecientes a esos colectivos culturales discriminados. </w:t>
      </w:r>
    </w:p>
    <w:p w:rsidR="00E60ED2" w:rsidRPr="0095533F" w:rsidRDefault="00E60ED2" w:rsidP="003B42CC">
      <w:pPr>
        <w:spacing w:before="100" w:beforeAutospacing="1" w:after="120"/>
        <w:ind w:firstLine="567"/>
        <w:contextualSpacing/>
        <w:rPr>
          <w:rFonts w:ascii="Book Antiqua" w:hAnsi="Book Antiqua"/>
        </w:rPr>
      </w:pPr>
      <w:r w:rsidRPr="0095533F">
        <w:rPr>
          <w:rFonts w:ascii="Book Antiqua" w:hAnsi="Book Antiqua"/>
        </w:rPr>
        <w:lastRenderedPageBreak/>
        <w:t xml:space="preserve">Para mayor ilustración y fundamento de la condición de colectivo </w:t>
      </w:r>
      <w:r w:rsidRPr="0095533F">
        <w:rPr>
          <w:rFonts w:ascii="Book Antiqua" w:hAnsi="Book Antiqua"/>
          <w:i/>
        </w:rPr>
        <w:t>discriminado, se ha concluido en investigaciones antropológicas que “es poco usual que los niños y niñas gitanos concluyan la escolaridad primaria. Suelen llegar hasta cuarto o quinto grado, cumpliendo así las expectativas de sus familias, que se contentan con que adquieran rudimentos básicos de lectoescritura y cálculos que les permitan el desempeño comercial de la vida diaria</w:t>
      </w:r>
      <w:r w:rsidRPr="0095533F">
        <w:rPr>
          <w:rFonts w:ascii="Book Antiqua" w:hAnsi="Book Antiqua"/>
        </w:rPr>
        <w:t>”</w:t>
      </w:r>
      <w:r w:rsidRPr="0095533F">
        <w:rPr>
          <w:rStyle w:val="Refdenotaalpie"/>
          <w:rFonts w:ascii="Book Antiqua" w:hAnsi="Book Antiqua"/>
        </w:rPr>
        <w:footnoteReference w:id="18"/>
      </w:r>
      <w:r w:rsidRPr="0095533F">
        <w:rPr>
          <w:rFonts w:ascii="Book Antiqua" w:hAnsi="Book Antiqua"/>
        </w:rPr>
        <w:t xml:space="preserve">. Así también como que </w:t>
      </w:r>
      <w:r w:rsidRPr="0095533F">
        <w:rPr>
          <w:rFonts w:ascii="Book Antiqua" w:hAnsi="Book Antiqua"/>
          <w:i/>
        </w:rPr>
        <w:t>“en el ámbito local, de igual manera, los medios masivos de comunicación, suelen homogeneizar a la comunidad y mostrarnos a gitanos vinculados al robo de autos, la desaparición de niños, operaciones mafiosas y estafas de todo tipo, advirtiendo "tenga cuidado con ellos, porque aunque no llevan armas consigo, logran que los abuelos les abran las puertas de sus casas a través de engaños para los que utilizan a mujeres y niños. Estos informes periodísticos con alto contenido sensacionalista contribuyen a forjar prejuicios y estigmatizaciones que agudizan las consecuencias de la exclusión económica”</w:t>
      </w:r>
      <w:r w:rsidRPr="0095533F">
        <w:rPr>
          <w:rStyle w:val="Refdenotaalpie"/>
          <w:rFonts w:ascii="Book Antiqua" w:hAnsi="Book Antiqua"/>
        </w:rPr>
        <w:footnoteReference w:id="19"/>
      </w:r>
      <w:r w:rsidRPr="0095533F">
        <w:rPr>
          <w:rFonts w:ascii="Book Antiqua" w:hAnsi="Book Antiqua"/>
        </w:rPr>
        <w:t xml:space="preserve">. </w:t>
      </w:r>
    </w:p>
    <w:p w:rsidR="00E60ED2" w:rsidRPr="0095533F" w:rsidRDefault="00E60ED2" w:rsidP="003B42CC">
      <w:pPr>
        <w:numPr>
          <w:ilvl w:val="0"/>
          <w:numId w:val="2"/>
        </w:numPr>
        <w:spacing w:before="100" w:beforeAutospacing="1" w:after="120"/>
        <w:ind w:left="0" w:firstLine="567"/>
        <w:contextualSpacing/>
        <w:rPr>
          <w:rStyle w:val="A1"/>
          <w:rFonts w:ascii="Book Antiqua" w:hAnsi="Book Antiqua"/>
          <w:b/>
          <w:sz w:val="24"/>
          <w:szCs w:val="24"/>
          <w:u w:val="single"/>
        </w:rPr>
      </w:pPr>
      <w:r w:rsidRPr="0095533F">
        <w:rPr>
          <w:rStyle w:val="A1"/>
          <w:rFonts w:ascii="Book Antiqua" w:hAnsi="Book Antiqua"/>
          <w:b/>
          <w:sz w:val="24"/>
          <w:szCs w:val="24"/>
          <w:u w:val="single"/>
        </w:rPr>
        <w:t>Sobre el condicionamiento cultural para la comprensión valorativa y normativa.</w:t>
      </w:r>
    </w:p>
    <w:p w:rsidR="00E60ED2" w:rsidRPr="0095533F" w:rsidRDefault="00E60ED2" w:rsidP="003B42CC">
      <w:pPr>
        <w:spacing w:before="100" w:beforeAutospacing="1" w:after="120"/>
        <w:ind w:firstLine="567"/>
        <w:contextualSpacing/>
        <w:rPr>
          <w:rFonts w:ascii="Book Antiqua" w:hAnsi="Book Antiqua"/>
        </w:rPr>
      </w:pPr>
      <w:r w:rsidRPr="0095533F">
        <w:rPr>
          <w:rFonts w:ascii="Book Antiqua" w:hAnsi="Book Antiqua"/>
        </w:rPr>
        <w:t xml:space="preserve">La construcción cognoscitiva de la subjetividad de la persona perteneciente a una minoría étnica condiciona, en buena medida, su posibilidad de comprensión de las figuras simbólicas de la cultura predominante y, por ende, de los elementos normativos tipificados por la ley penal. En lo que respecta a la cultura gitana en especial y la exigencia de su comprensión de ciertos aspectos normativos motivadores de la conducta, y base del reproche penal, resulta relevante la siguiente caracterización: </w:t>
      </w:r>
      <w:r w:rsidRPr="0095533F">
        <w:rPr>
          <w:rFonts w:ascii="Book Antiqua" w:hAnsi="Book Antiqua"/>
          <w:i/>
        </w:rPr>
        <w:t xml:space="preserve">“este tipo de propuestas que parten de una cultura letrada, no repara en sus propias limitaciones, se propone exigirle a un pueblo nómade que opere, de un modo para el cual no ha sido preparado. Esto es posible de realizar cuando el destinatario tiene una representación mental de la vida, constituida desde y por la escritura, que imparte sus valores </w:t>
      </w:r>
      <w:r w:rsidRPr="0095533F">
        <w:rPr>
          <w:rFonts w:ascii="Book Antiqua" w:hAnsi="Book Antiqua"/>
          <w:i/>
        </w:rPr>
        <w:lastRenderedPageBreak/>
        <w:t>desde la escuela primaria, desde la documentación estatal, jurídica, religiosa y artística. Si bien los gitanos han sabido de la existencia de la escritura, y además la podían visualizar; deberá entenderse que no podían sentirse constituidos por ella, no es un elemento propio al que se pueda acceder fácilmente y mucho menos creerle, más aún si tenemos en cuenta que desde la escritura han partido las ordenes de persecución y asesinato en su contra. La escritura obliga, retiene, encarcela y hace viva la presencia del pasado, y puede congelar en un documento la libertad del hombre”</w:t>
      </w:r>
      <w:r w:rsidRPr="0095533F">
        <w:rPr>
          <w:rStyle w:val="Refdenotaalpie"/>
          <w:rFonts w:ascii="Book Antiqua" w:hAnsi="Book Antiqua"/>
          <w:i/>
        </w:rPr>
        <w:footnoteReference w:id="20"/>
      </w:r>
      <w:r w:rsidRPr="0095533F">
        <w:rPr>
          <w:rFonts w:ascii="Book Antiqua" w:hAnsi="Book Antiqua"/>
          <w:i/>
        </w:rPr>
        <w:t>.</w:t>
      </w:r>
    </w:p>
    <w:p w:rsidR="00E60ED2" w:rsidRPr="0095533F" w:rsidRDefault="00E60ED2" w:rsidP="003B42CC">
      <w:pPr>
        <w:spacing w:before="100" w:beforeAutospacing="1" w:after="120"/>
        <w:ind w:firstLine="567"/>
        <w:contextualSpacing/>
        <w:rPr>
          <w:rFonts w:ascii="Book Antiqua" w:hAnsi="Book Antiqua"/>
        </w:rPr>
      </w:pPr>
      <w:r w:rsidRPr="0095533F">
        <w:rPr>
          <w:rFonts w:ascii="Book Antiqua" w:hAnsi="Book Antiqua"/>
        </w:rPr>
        <w:t xml:space="preserve">Esta característica ágrafa de la cultura gitana es constitutiva de su subjetividad y explica en muchos casos la condición analfabeta y, por lo tanto, las dificultades para internalizar representaciones simbólicas la cultura occidental. </w:t>
      </w:r>
      <w:r w:rsidRPr="0095533F">
        <w:rPr>
          <w:rFonts w:ascii="Book Antiqua" w:hAnsi="Book Antiqua"/>
          <w:b/>
        </w:rPr>
        <w:t>En lo relevante para el derecho penal, esto incluye los obstáculos para la comprensión de los elementos normativos como el registro de marcas, propiedad intelectual, sin posibilidad cognoscitiva de aproximarse a conceptualizar la línea divisoria de lo lícito, cuya frontera entre lo legal e ilegal se torna difusa</w:t>
      </w:r>
      <w:r w:rsidRPr="0095533F">
        <w:rPr>
          <w:rFonts w:ascii="Book Antiqua" w:hAnsi="Book Antiqua"/>
        </w:rPr>
        <w:t xml:space="preserve">. </w:t>
      </w:r>
    </w:p>
    <w:p w:rsidR="00E60ED2" w:rsidRPr="0095533F" w:rsidRDefault="00E60ED2" w:rsidP="003B42CC">
      <w:pPr>
        <w:spacing w:before="100" w:beforeAutospacing="1" w:after="120"/>
        <w:ind w:firstLine="567"/>
        <w:contextualSpacing/>
        <w:rPr>
          <w:rFonts w:ascii="Book Antiqua" w:hAnsi="Book Antiqua"/>
          <w:lang w:eastAsia="es-AR"/>
        </w:rPr>
      </w:pPr>
      <w:r w:rsidRPr="0095533F">
        <w:rPr>
          <w:rFonts w:ascii="Book Antiqua" w:hAnsi="Book Antiqua"/>
        </w:rPr>
        <w:t xml:space="preserve">Desde la ciencia antropológica se ha sostenido que la persona perteneciente a la cultura gitana cuenta con una auto-identificación construida en múltiples niveles en torno a lo étnico y lo nacional, donde el sentido de pertenencia choca constantemente con el sentido de la discriminación. De este modo, los factores étnicos operan como condicionantes de su analfabetismo, y se convierten en obstáculos para la comprensión de una cultura letrada y de especificidades normativas. </w:t>
      </w:r>
      <w:r w:rsidRPr="0095533F">
        <w:rPr>
          <w:rFonts w:ascii="Book Antiqua" w:hAnsi="Book Antiqua"/>
          <w:b/>
        </w:rPr>
        <w:t>La distancia entre no poder leer un acta de procedimiento y comprender los alcances jurídicos es tan abismal como aquella que interpone el</w:t>
      </w:r>
      <w:r w:rsidRPr="0095533F">
        <w:rPr>
          <w:rFonts w:ascii="Book Antiqua" w:hAnsi="Book Antiqua"/>
        </w:rPr>
        <w:t xml:space="preserve"> </w:t>
      </w:r>
      <w:r w:rsidRPr="0095533F">
        <w:rPr>
          <w:rFonts w:ascii="Book Antiqua" w:hAnsi="Book Antiqua"/>
          <w:b/>
        </w:rPr>
        <w:t>agente policial entre su auto-percepción como local y la persona a quien interpela como exógena y ajena</w:t>
      </w:r>
      <w:r w:rsidRPr="0095533F">
        <w:rPr>
          <w:rStyle w:val="Refdenotaalpie"/>
          <w:rFonts w:ascii="Book Antiqua" w:hAnsi="Book Antiqua"/>
          <w:lang w:eastAsia="es-AR"/>
        </w:rPr>
        <w:footnoteReference w:id="21"/>
      </w:r>
      <w:r w:rsidRPr="0095533F">
        <w:rPr>
          <w:rFonts w:ascii="Book Antiqua" w:hAnsi="Book Antiqua"/>
          <w:lang w:eastAsia="es-AR"/>
        </w:rPr>
        <w:t xml:space="preserve">. </w:t>
      </w:r>
    </w:p>
    <w:p w:rsidR="00E60ED2" w:rsidRPr="0095533F" w:rsidRDefault="00E60ED2" w:rsidP="003B42CC">
      <w:pPr>
        <w:spacing w:before="100" w:beforeAutospacing="1" w:after="120"/>
        <w:ind w:firstLine="567"/>
        <w:contextualSpacing/>
        <w:rPr>
          <w:rFonts w:ascii="Book Antiqua" w:hAnsi="Book Antiqua"/>
        </w:rPr>
      </w:pPr>
      <w:r w:rsidRPr="0095533F">
        <w:rPr>
          <w:rFonts w:ascii="Book Antiqua" w:hAnsi="Book Antiqua"/>
        </w:rPr>
        <w:t xml:space="preserve">Desde la perspectiva de la dogmática penal, el error de prohibición o culturalmente condicionado, constituye una solución adecuada para casos de diversidad cultural. El error de prohibición directo </w:t>
      </w:r>
      <w:r w:rsidRPr="0095533F">
        <w:rPr>
          <w:rFonts w:ascii="Book Antiqua" w:hAnsi="Book Antiqua"/>
          <w:i/>
        </w:rPr>
        <w:t xml:space="preserve">“no se agota con los casos en que hay desconocimiento de la existencia de la Prohibición o del alcance de la misma, sino que también abarca el caso en que, existiendo este desconocimiento, el error </w:t>
      </w:r>
      <w:r w:rsidRPr="0095533F">
        <w:rPr>
          <w:rFonts w:ascii="Book Antiqua" w:hAnsi="Book Antiqua"/>
          <w:i/>
        </w:rPr>
        <w:lastRenderedPageBreak/>
        <w:t>determina únicamente la falta de comprensión. Son los casos en que el sujeto conoce la norma prohibitiva, pero no puede exigírsele la comprensión de la misma”</w:t>
      </w:r>
      <w:r w:rsidRPr="0095533F">
        <w:rPr>
          <w:rStyle w:val="Refdenotaalpie"/>
          <w:rFonts w:ascii="Book Antiqua" w:hAnsi="Book Antiqua"/>
        </w:rPr>
        <w:footnoteReference w:id="22"/>
      </w:r>
      <w:r w:rsidRPr="0095533F">
        <w:rPr>
          <w:rFonts w:ascii="Book Antiqua" w:hAnsi="Book Antiqua"/>
        </w:rPr>
        <w:t>. De lo contrario, se violaría el principio de culpabilidad, al reprochársele su conducta a quien no pudo motivarse en la norma por motivos de comprensión cognoscitiva, de construcción de su subjetividad y fuerte condicionamiento cultural.</w:t>
      </w:r>
    </w:p>
    <w:p w:rsidR="00E60ED2" w:rsidRPr="0095533F" w:rsidRDefault="00E60ED2" w:rsidP="003B42CC">
      <w:pPr>
        <w:spacing w:before="100" w:beforeAutospacing="1" w:after="120"/>
        <w:ind w:firstLine="567"/>
        <w:contextualSpacing/>
        <w:rPr>
          <w:rFonts w:ascii="Book Antiqua" w:hAnsi="Book Antiqua"/>
          <w:i/>
        </w:rPr>
      </w:pPr>
      <w:r w:rsidRPr="0095533F">
        <w:rPr>
          <w:rFonts w:ascii="Book Antiqua" w:hAnsi="Book Antiqua"/>
        </w:rPr>
        <w:t xml:space="preserve">Por eso se ha sostenido que, </w:t>
      </w:r>
      <w:r w:rsidRPr="0095533F">
        <w:rPr>
          <w:rFonts w:ascii="Book Antiqua" w:hAnsi="Book Antiqua"/>
          <w:i/>
        </w:rPr>
        <w:t xml:space="preserve">“si se comparten estos argumentos forzoso resulta concluir que, cuando un actor social se encuentra inmerso en una subcultura (con fuerte identidad étnica), más allá de que pueda tener conocimiento formal de una determinada prohibición contenida en la ley penal del Estado, será, al menos, muy complicado pretender que logre internalizar los valores de la norma y, así, exigirle su comprensión. De esta manera – y como ya lo sostenía </w:t>
      </w:r>
      <w:proofErr w:type="spellStart"/>
      <w:r w:rsidRPr="0095533F">
        <w:rPr>
          <w:rFonts w:ascii="Book Antiqua" w:hAnsi="Book Antiqua"/>
          <w:i/>
        </w:rPr>
        <w:t>Welzel</w:t>
      </w:r>
      <w:proofErr w:type="spellEnd"/>
      <w:r w:rsidRPr="0095533F">
        <w:rPr>
          <w:rFonts w:ascii="Book Antiqua" w:hAnsi="Book Antiqua"/>
          <w:i/>
        </w:rPr>
        <w:t xml:space="preserve"> – en semejantes casos resultará difícil plantear un reproche de culpabilidad. La razón parece clara: este reproche sólo puede verificarse cuando el sujeto activo “estaba en situación de reconocer la antijuridicidad de su hacer” (Cfr. Hans </w:t>
      </w:r>
      <w:proofErr w:type="spellStart"/>
      <w:r w:rsidRPr="0095533F">
        <w:rPr>
          <w:rFonts w:ascii="Book Antiqua" w:hAnsi="Book Antiqua"/>
          <w:i/>
        </w:rPr>
        <w:t>Welzel</w:t>
      </w:r>
      <w:proofErr w:type="spellEnd"/>
      <w:r w:rsidRPr="0095533F">
        <w:rPr>
          <w:rFonts w:ascii="Book Antiqua" w:hAnsi="Book Antiqua"/>
          <w:i/>
        </w:rPr>
        <w:t xml:space="preserve">, Derecho penal alemán, 11a edición, Ediciones Jurídicas de Chile, Santiago, 1976, p. 221); y </w:t>
      </w:r>
    </w:p>
    <w:p w:rsidR="00E60ED2" w:rsidRPr="0095533F" w:rsidRDefault="00E60ED2" w:rsidP="003B42CC">
      <w:pPr>
        <w:spacing w:before="100" w:beforeAutospacing="1" w:after="120"/>
        <w:ind w:firstLine="567"/>
        <w:contextualSpacing/>
        <w:rPr>
          <w:rFonts w:ascii="Book Antiqua" w:hAnsi="Book Antiqua"/>
          <w:i/>
        </w:rPr>
      </w:pPr>
      <w:proofErr w:type="gramStart"/>
      <w:r w:rsidRPr="0095533F">
        <w:rPr>
          <w:rFonts w:ascii="Book Antiqua" w:hAnsi="Book Antiqua"/>
          <w:i/>
        </w:rPr>
        <w:t>eso</w:t>
      </w:r>
      <w:proofErr w:type="gramEnd"/>
      <w:r w:rsidRPr="0095533F">
        <w:rPr>
          <w:rFonts w:ascii="Book Antiqua" w:hAnsi="Book Antiqua"/>
          <w:i/>
        </w:rPr>
        <w:t xml:space="preserve"> es altamente discutible que suceda cuando las percepciones valorativas culturales del </w:t>
      </w:r>
      <w:proofErr w:type="spellStart"/>
      <w:r w:rsidRPr="0095533F">
        <w:rPr>
          <w:rFonts w:ascii="Book Antiqua" w:hAnsi="Book Antiqua"/>
          <w:i/>
        </w:rPr>
        <w:t>endogrupo</w:t>
      </w:r>
      <w:proofErr w:type="spellEnd"/>
      <w:r w:rsidRPr="0095533F">
        <w:rPr>
          <w:rFonts w:ascii="Book Antiqua" w:hAnsi="Book Antiqua"/>
          <w:i/>
        </w:rPr>
        <w:t xml:space="preserve"> poseen una firmeza tal que no le permite – a sus miembros – la admisión de reglas jurídicas enfrentadas con aquellas pautas</w:t>
      </w:r>
      <w:r w:rsidRPr="0095533F">
        <w:rPr>
          <w:rStyle w:val="Refdenotaalpie"/>
          <w:rFonts w:ascii="Book Antiqua" w:hAnsi="Book Antiqua"/>
        </w:rPr>
        <w:footnoteReference w:id="23"/>
      </w:r>
      <w:r w:rsidRPr="0095533F">
        <w:rPr>
          <w:rFonts w:ascii="Book Antiqua" w:hAnsi="Book Antiqua"/>
        </w:rPr>
        <w:t>.</w:t>
      </w:r>
    </w:p>
    <w:p w:rsidR="00E60ED2" w:rsidRPr="0095533F" w:rsidRDefault="00E60ED2" w:rsidP="003B42CC">
      <w:pPr>
        <w:spacing w:before="100" w:beforeAutospacing="1" w:after="120"/>
        <w:ind w:firstLine="567"/>
        <w:contextualSpacing/>
        <w:rPr>
          <w:rFonts w:ascii="Book Antiqua" w:hAnsi="Book Antiqua"/>
        </w:rPr>
      </w:pPr>
      <w:r w:rsidRPr="0095533F">
        <w:rPr>
          <w:rFonts w:ascii="Book Antiqua" w:hAnsi="Book Antiqua"/>
        </w:rPr>
        <w:t xml:space="preserve">También, como hemos sostenido, no es posible sostener la existencia de subculturas totalmente extrañas a las pautas de la sociedad mayor en la que se insertan. El antropólogo argentino Adolfo </w:t>
      </w:r>
      <w:proofErr w:type="spellStart"/>
      <w:r w:rsidRPr="0095533F">
        <w:rPr>
          <w:rFonts w:ascii="Book Antiqua" w:hAnsi="Book Antiqua"/>
        </w:rPr>
        <w:t>Colombres</w:t>
      </w:r>
      <w:proofErr w:type="spellEnd"/>
      <w:r w:rsidRPr="0095533F">
        <w:rPr>
          <w:rFonts w:ascii="Book Antiqua" w:hAnsi="Book Antiqua"/>
        </w:rPr>
        <w:t xml:space="preserve"> (siguiendo conceptos de Aguirre Beltrán) ha caracterizado la aculturación como un proceso de cambio que emerge del contacto de grupos que participan de culturas distintas. La aculturación </w:t>
      </w:r>
      <w:r w:rsidRPr="0095533F">
        <w:rPr>
          <w:rFonts w:ascii="Book Antiqua" w:hAnsi="Book Antiqua"/>
          <w:i/>
        </w:rPr>
        <w:t>“se caracteriza por el desarrollo continuado de un conflicto de fuerzas, entre formas de vida de sentido opuesto, que tienden a su total identificación y se manifiesta, objetivamente, en su existencia a niveles variados de contradicción”</w:t>
      </w:r>
      <w:r w:rsidRPr="0095533F">
        <w:rPr>
          <w:rStyle w:val="Refdenotaalpie"/>
          <w:rFonts w:ascii="Book Antiqua" w:hAnsi="Book Antiqua"/>
          <w:i/>
        </w:rPr>
        <w:footnoteReference w:id="24"/>
      </w:r>
      <w:r w:rsidRPr="0095533F">
        <w:rPr>
          <w:rFonts w:ascii="Book Antiqua" w:hAnsi="Book Antiqua"/>
        </w:rPr>
        <w:t>.</w:t>
      </w:r>
    </w:p>
    <w:p w:rsidR="00E60ED2" w:rsidRPr="0095533F" w:rsidRDefault="00E60ED2" w:rsidP="003B42CC">
      <w:pPr>
        <w:pStyle w:val="Pa17"/>
        <w:numPr>
          <w:ilvl w:val="0"/>
          <w:numId w:val="2"/>
        </w:numPr>
        <w:spacing w:before="100" w:beforeAutospacing="1" w:after="120" w:line="360" w:lineRule="auto"/>
        <w:ind w:left="0" w:firstLine="567"/>
        <w:contextualSpacing/>
        <w:jc w:val="both"/>
        <w:rPr>
          <w:rStyle w:val="A1"/>
          <w:rFonts w:ascii="Book Antiqua" w:hAnsi="Book Antiqua"/>
          <w:b/>
          <w:sz w:val="24"/>
          <w:szCs w:val="24"/>
          <w:u w:val="single"/>
        </w:rPr>
      </w:pPr>
      <w:r w:rsidRPr="0095533F">
        <w:rPr>
          <w:rStyle w:val="A1"/>
          <w:rFonts w:ascii="Book Antiqua" w:hAnsi="Book Antiqua"/>
          <w:b/>
          <w:sz w:val="24"/>
          <w:szCs w:val="24"/>
          <w:u w:val="single"/>
        </w:rPr>
        <w:t>La diversidad cultural y las medidas alternativas a la prisión preventiva.</w:t>
      </w:r>
    </w:p>
    <w:p w:rsidR="00E60ED2" w:rsidRPr="0095533F" w:rsidRDefault="00E60ED2" w:rsidP="003B42CC">
      <w:pPr>
        <w:pStyle w:val="Pa17"/>
        <w:spacing w:before="100" w:beforeAutospacing="1" w:after="120" w:line="360" w:lineRule="auto"/>
        <w:ind w:firstLine="567"/>
        <w:contextualSpacing/>
        <w:jc w:val="both"/>
        <w:rPr>
          <w:rFonts w:ascii="Book Antiqua" w:hAnsi="Book Antiqua"/>
        </w:rPr>
      </w:pPr>
      <w:r w:rsidRPr="0095533F">
        <w:rPr>
          <w:rStyle w:val="A1"/>
          <w:rFonts w:ascii="Book Antiqua" w:hAnsi="Book Antiqua"/>
          <w:sz w:val="24"/>
          <w:szCs w:val="24"/>
        </w:rPr>
        <w:lastRenderedPageBreak/>
        <w:t xml:space="preserve">La O.I.T. indica que: </w:t>
      </w:r>
      <w:r w:rsidRPr="0095533F">
        <w:rPr>
          <w:rStyle w:val="A1"/>
          <w:rFonts w:ascii="Book Antiqua" w:hAnsi="Book Antiqua"/>
          <w:i/>
          <w:iCs/>
          <w:sz w:val="24"/>
          <w:szCs w:val="24"/>
        </w:rPr>
        <w:t>“El encarcelamiento es un problema que afecta específicamente a los pueblos indígenas y tribales. Con frecuencia esta experiencia es tan traumática para sus integrantes, que muchos de ellos mueren en prisión. (…) Lo antedicho subraya la necesidad de que jueces y magistrados, tribunales y administraciones nacionales encuentren penas alternativas para aplicar a los miembros de estos pueblos que hayan sido declarados culpables de un delito”</w:t>
      </w:r>
      <w:r w:rsidRPr="0095533F">
        <w:rPr>
          <w:rStyle w:val="A1"/>
          <w:rFonts w:ascii="Book Antiqua" w:hAnsi="Book Antiqua"/>
          <w:sz w:val="24"/>
          <w:szCs w:val="24"/>
        </w:rPr>
        <w:t xml:space="preserve"> </w:t>
      </w:r>
      <w:r w:rsidRPr="0095533F">
        <w:rPr>
          <w:rStyle w:val="A1"/>
          <w:rFonts w:ascii="Book Antiqua" w:hAnsi="Book Antiqua"/>
          <w:i/>
          <w:iCs/>
          <w:sz w:val="24"/>
          <w:szCs w:val="24"/>
        </w:rPr>
        <w:t xml:space="preserve">(Organización Internacional del Trabajo; </w:t>
      </w:r>
      <w:r w:rsidRPr="0095533F">
        <w:rPr>
          <w:rStyle w:val="A1"/>
          <w:rFonts w:ascii="Book Antiqua" w:hAnsi="Book Antiqua"/>
          <w:sz w:val="24"/>
          <w:szCs w:val="24"/>
        </w:rPr>
        <w:t>Convenio Número 169 Sobre Pueblos Indígenas y Tribales. Un Manual</w:t>
      </w:r>
      <w:r w:rsidRPr="0095533F">
        <w:rPr>
          <w:rStyle w:val="A1"/>
          <w:rFonts w:ascii="Book Antiqua" w:hAnsi="Book Antiqua"/>
          <w:i/>
          <w:iCs/>
          <w:sz w:val="24"/>
          <w:szCs w:val="24"/>
        </w:rPr>
        <w:t>, O.I.T., Ginebra, 2007, p. 27).</w:t>
      </w:r>
      <w:r w:rsidRPr="0095533F">
        <w:rPr>
          <w:rStyle w:val="A4"/>
          <w:rFonts w:ascii="Book Antiqua" w:hAnsi="Book Antiqua"/>
          <w:sz w:val="24"/>
          <w:szCs w:val="24"/>
        </w:rPr>
        <w:t xml:space="preserve"> </w:t>
      </w:r>
      <w:r w:rsidRPr="0095533F">
        <w:rPr>
          <w:rStyle w:val="A1"/>
          <w:rFonts w:ascii="Book Antiqua" w:hAnsi="Book Antiqua"/>
          <w:sz w:val="24"/>
          <w:szCs w:val="24"/>
        </w:rPr>
        <w:t xml:space="preserve">Según los juristas Juan Manuel Salgado y Micaela </w:t>
      </w:r>
      <w:proofErr w:type="spellStart"/>
      <w:r w:rsidRPr="0095533F">
        <w:rPr>
          <w:rStyle w:val="A1"/>
          <w:rFonts w:ascii="Book Antiqua" w:hAnsi="Book Antiqua"/>
          <w:sz w:val="24"/>
          <w:szCs w:val="24"/>
        </w:rPr>
        <w:t>Gomiz</w:t>
      </w:r>
      <w:proofErr w:type="spellEnd"/>
      <w:r w:rsidRPr="0095533F">
        <w:rPr>
          <w:rStyle w:val="A1"/>
          <w:rFonts w:ascii="Book Antiqua" w:hAnsi="Book Antiqua"/>
          <w:sz w:val="24"/>
          <w:szCs w:val="24"/>
        </w:rPr>
        <w:t xml:space="preserve">, la norma del artículo 10 del Convenio 169 de la OIT </w:t>
      </w:r>
      <w:r w:rsidRPr="0095533F">
        <w:rPr>
          <w:rStyle w:val="A1"/>
          <w:rFonts w:ascii="Book Antiqua" w:hAnsi="Book Antiqua"/>
          <w:i/>
          <w:sz w:val="24"/>
          <w:szCs w:val="24"/>
        </w:rPr>
        <w:t>“se deriva del principio de no discriminación. Dado que las penas fueron concebidas en el contexto cultural de la sociedad dominante para ser impuestas a los miembros de esta sociedad, su aplicación a los pueblos indígenas suele importar un sufrimiento mayor, violatorio de la igualdad ante la ley, porque al hecho de la sanción se agrega el mayor padecimiento ocasionado por el desarraigo cultural”</w:t>
      </w:r>
      <w:r w:rsidRPr="0095533F">
        <w:rPr>
          <w:rStyle w:val="Refdenotaalpie"/>
          <w:rFonts w:ascii="Book Antiqua" w:hAnsi="Book Antiqua"/>
          <w:i/>
        </w:rPr>
        <w:footnoteReference w:id="25"/>
      </w:r>
      <w:r w:rsidRPr="0095533F">
        <w:rPr>
          <w:rStyle w:val="A1"/>
          <w:rFonts w:ascii="Book Antiqua" w:hAnsi="Book Antiqua"/>
          <w:i/>
          <w:sz w:val="24"/>
          <w:szCs w:val="24"/>
        </w:rPr>
        <w:t xml:space="preserve">. </w:t>
      </w:r>
      <w:r w:rsidRPr="0095533F">
        <w:rPr>
          <w:rStyle w:val="A1"/>
          <w:rFonts w:ascii="Book Antiqua" w:hAnsi="Book Antiqua"/>
          <w:i/>
          <w:iCs/>
          <w:sz w:val="24"/>
          <w:szCs w:val="24"/>
        </w:rPr>
        <w:t xml:space="preserve">“El daño de la cárcel en un marco de diversidad cultural es enorme” </w:t>
      </w:r>
      <w:r w:rsidRPr="0095533F">
        <w:rPr>
          <w:rStyle w:val="A1"/>
          <w:rFonts w:ascii="Book Antiqua" w:hAnsi="Book Antiqua"/>
          <w:sz w:val="24"/>
          <w:szCs w:val="24"/>
        </w:rPr>
        <w:t xml:space="preserve">dice Becerra, quien propone alternativas como </w:t>
      </w:r>
      <w:r w:rsidRPr="0095533F">
        <w:rPr>
          <w:rStyle w:val="A1"/>
          <w:rFonts w:ascii="Book Antiqua" w:hAnsi="Book Antiqua"/>
          <w:i/>
          <w:iCs/>
          <w:sz w:val="24"/>
          <w:szCs w:val="24"/>
        </w:rPr>
        <w:t>“trabajo comunitario, reparación a la víctima, multa, arresto domiciliario</w:t>
      </w:r>
      <w:r w:rsidRPr="0095533F">
        <w:rPr>
          <w:rStyle w:val="A1"/>
          <w:rFonts w:ascii="Book Antiqua" w:hAnsi="Book Antiqua"/>
          <w:sz w:val="24"/>
          <w:szCs w:val="24"/>
        </w:rPr>
        <w:t>”</w:t>
      </w:r>
      <w:r w:rsidRPr="0095533F">
        <w:rPr>
          <w:rStyle w:val="Refdenotaalpie"/>
          <w:rFonts w:ascii="Book Antiqua" w:eastAsia="Times New Roman" w:hAnsi="Book Antiqua"/>
          <w:i/>
        </w:rPr>
        <w:footnoteReference w:id="26"/>
      </w:r>
      <w:r w:rsidRPr="0095533F">
        <w:rPr>
          <w:rStyle w:val="Refdenotaalpie"/>
          <w:rFonts w:ascii="Book Antiqua" w:eastAsia="Times New Roman" w:hAnsi="Book Antiqua"/>
          <w:i/>
        </w:rPr>
        <w:t>.</w:t>
      </w:r>
      <w:r w:rsidRPr="0095533F">
        <w:rPr>
          <w:rStyle w:val="A1"/>
          <w:rFonts w:ascii="Book Antiqua" w:hAnsi="Book Antiqua"/>
          <w:sz w:val="24"/>
          <w:szCs w:val="24"/>
        </w:rPr>
        <w:t xml:space="preserve"> </w:t>
      </w:r>
      <w:r w:rsidRPr="0095533F">
        <w:rPr>
          <w:rFonts w:ascii="Book Antiqua" w:hAnsi="Book Antiqua"/>
        </w:rPr>
        <w:t>Estas consideraciones son comprensivas también de la situación de las minorías étnicas (o pueblos tribales, en términos del Convenio 169 de la O.I.T.).</w:t>
      </w:r>
    </w:p>
    <w:p w:rsidR="00E60ED2" w:rsidRPr="0095533F" w:rsidRDefault="00E60ED2" w:rsidP="003B42CC">
      <w:pPr>
        <w:autoSpaceDE w:val="0"/>
        <w:autoSpaceDN w:val="0"/>
        <w:adjustRightInd w:val="0"/>
        <w:spacing w:before="100" w:beforeAutospacing="1" w:after="120"/>
        <w:ind w:firstLine="567"/>
        <w:contextualSpacing/>
        <w:rPr>
          <w:rFonts w:ascii="Book Antiqua" w:eastAsia="Calibri" w:hAnsi="Book Antiqua"/>
          <w:i/>
          <w:color w:val="000000"/>
        </w:rPr>
      </w:pPr>
      <w:r w:rsidRPr="0095533F">
        <w:rPr>
          <w:rFonts w:ascii="Book Antiqua" w:eastAsia="Calibri" w:hAnsi="Book Antiqua"/>
          <w:color w:val="000000"/>
        </w:rPr>
        <w:t xml:space="preserve">Dicen Salgado y </w:t>
      </w:r>
      <w:proofErr w:type="spellStart"/>
      <w:r w:rsidRPr="0095533F">
        <w:rPr>
          <w:rFonts w:ascii="Book Antiqua" w:eastAsia="Calibri" w:hAnsi="Book Antiqua"/>
          <w:color w:val="000000"/>
        </w:rPr>
        <w:t>Gomiz</w:t>
      </w:r>
      <w:proofErr w:type="spellEnd"/>
      <w:r w:rsidRPr="0095533F">
        <w:rPr>
          <w:rFonts w:ascii="Book Antiqua" w:eastAsia="Calibri" w:hAnsi="Book Antiqua"/>
          <w:color w:val="000000"/>
        </w:rPr>
        <w:t xml:space="preserve">: </w:t>
      </w:r>
      <w:r w:rsidRPr="0095533F">
        <w:rPr>
          <w:rFonts w:ascii="Book Antiqua" w:eastAsia="Calibri" w:hAnsi="Book Antiqua"/>
          <w:i/>
          <w:color w:val="000000"/>
        </w:rPr>
        <w:t>“El término “sanciones penales” incluye también las medidas de seguridad adoptadas durante el proceso (como la prisión preventiva) ya que no puede concebirse que éstas lleguen a resultar más gravosas que las condenas (…). El artículo comentado obliga a interpretar la legislación nacional respetando y protegiendo la integridad de la cultura, valores e instituciones indígenas (artículo 5 del Convenio), e incluso declarando inaplicable la legislación nacional o local si ella implica discriminación en el caso concreto, lo que ocurre cuando la sanción conlleva la pérdida de identidad del individuo confinado (sea por alejamiento del medio cultural propio, adopción de pautas institucionales extrañas o discontinuidad religiosa o lingüística)</w:t>
      </w:r>
      <w:r w:rsidRPr="0095533F">
        <w:rPr>
          <w:rFonts w:ascii="Book Antiqua" w:eastAsia="Calibri" w:hAnsi="Book Antiqua"/>
          <w:color w:val="000000"/>
        </w:rPr>
        <w:t>”</w:t>
      </w:r>
      <w:r w:rsidRPr="0095533F">
        <w:rPr>
          <w:rStyle w:val="Refdenotaalpie"/>
          <w:rFonts w:ascii="Book Antiqua" w:eastAsia="Calibri" w:hAnsi="Book Antiqua"/>
        </w:rPr>
        <w:footnoteReference w:id="27"/>
      </w:r>
    </w:p>
    <w:p w:rsidR="00E60ED2" w:rsidRPr="0095533F" w:rsidRDefault="002D0E25" w:rsidP="003B42CC">
      <w:pPr>
        <w:autoSpaceDE w:val="0"/>
        <w:autoSpaceDN w:val="0"/>
        <w:adjustRightInd w:val="0"/>
        <w:spacing w:before="100" w:beforeAutospacing="1" w:after="120"/>
        <w:ind w:firstLine="567"/>
        <w:contextualSpacing/>
        <w:rPr>
          <w:rFonts w:ascii="Book Antiqua" w:hAnsi="Book Antiqua"/>
          <w:color w:val="000000"/>
        </w:rPr>
      </w:pPr>
      <w:r w:rsidRPr="0095533F">
        <w:rPr>
          <w:rFonts w:ascii="Book Antiqua" w:eastAsia="Calibri" w:hAnsi="Book Antiqua"/>
          <w:color w:val="000000"/>
        </w:rPr>
        <w:lastRenderedPageBreak/>
        <w:t>E</w:t>
      </w:r>
      <w:r w:rsidR="00E60ED2" w:rsidRPr="0095533F">
        <w:rPr>
          <w:rFonts w:ascii="Book Antiqua" w:eastAsia="Calibri" w:hAnsi="Book Antiqua"/>
          <w:color w:val="000000"/>
        </w:rPr>
        <w:t>l Comité para la Eliminación de la Discriminación Racial citó especialmente la norma comentada como ajustada a la supresión de la discriminación racial</w:t>
      </w:r>
      <w:r w:rsidR="00E60ED2" w:rsidRPr="0095533F">
        <w:rPr>
          <w:rStyle w:val="Refdenotaalpie"/>
          <w:rFonts w:ascii="Book Antiqua" w:eastAsia="Calibri" w:hAnsi="Book Antiqua"/>
        </w:rPr>
        <w:footnoteReference w:id="28"/>
      </w:r>
      <w:r w:rsidR="00E60ED2" w:rsidRPr="0095533F">
        <w:rPr>
          <w:rFonts w:ascii="Book Antiqua" w:eastAsia="Calibri" w:hAnsi="Book Antiqua"/>
          <w:color w:val="000000"/>
        </w:rPr>
        <w:t xml:space="preserve">. Expresó además el Comité, que las instituciones penitenciarias </w:t>
      </w:r>
      <w:r w:rsidR="00E60ED2" w:rsidRPr="0095533F">
        <w:rPr>
          <w:rFonts w:ascii="Book Antiqua" w:eastAsia="Calibri" w:hAnsi="Book Antiqua"/>
          <w:i/>
          <w:iCs/>
          <w:color w:val="000000"/>
        </w:rPr>
        <w:t xml:space="preserve">“deberían contar con </w:t>
      </w:r>
      <w:r w:rsidR="00E60ED2" w:rsidRPr="0095533F">
        <w:rPr>
          <w:rStyle w:val="A1"/>
          <w:rFonts w:ascii="Book Antiqua" w:hAnsi="Book Antiqua"/>
          <w:i/>
          <w:iCs/>
          <w:sz w:val="24"/>
          <w:szCs w:val="24"/>
        </w:rPr>
        <w:t xml:space="preserve">personal experimentado en materia de discriminación racial y con un conocimiento apropiado de los problemas de los grupos raciales y étnicos y de los otros grupos vulnerables mencionados en el último párrafo del preámbulo” </w:t>
      </w:r>
      <w:r w:rsidR="00E60ED2" w:rsidRPr="0095533F">
        <w:rPr>
          <w:rStyle w:val="A1"/>
          <w:rFonts w:ascii="Book Antiqua" w:hAnsi="Book Antiqua"/>
          <w:sz w:val="24"/>
          <w:szCs w:val="24"/>
        </w:rPr>
        <w:t>(</w:t>
      </w:r>
      <w:r w:rsidR="00E60ED2" w:rsidRPr="0095533F">
        <w:rPr>
          <w:rFonts w:ascii="Book Antiqua" w:hAnsi="Book Antiqua"/>
          <w:color w:val="000000"/>
        </w:rPr>
        <w:t>Recomendación general XXXI (2005), párrafos 36, 39 y 41)</w:t>
      </w:r>
      <w:r w:rsidR="00E60ED2" w:rsidRPr="0095533F">
        <w:rPr>
          <w:rStyle w:val="A0"/>
          <w:rFonts w:ascii="Book Antiqua" w:hAnsi="Book Antiqua"/>
          <w:sz w:val="24"/>
          <w:szCs w:val="24"/>
        </w:rPr>
        <w:t>.</w:t>
      </w:r>
      <w:r w:rsidR="00E60ED2" w:rsidRPr="0095533F">
        <w:rPr>
          <w:rFonts w:ascii="Book Antiqua" w:hAnsi="Book Antiqua"/>
          <w:color w:val="000000"/>
        </w:rPr>
        <w:t xml:space="preserve"> </w:t>
      </w:r>
    </w:p>
    <w:p w:rsidR="00E60ED2" w:rsidRDefault="00E60ED2" w:rsidP="003B42CC">
      <w:pPr>
        <w:autoSpaceDE w:val="0"/>
        <w:autoSpaceDN w:val="0"/>
        <w:adjustRightInd w:val="0"/>
        <w:spacing w:before="100" w:beforeAutospacing="1" w:after="120"/>
        <w:ind w:firstLine="567"/>
        <w:contextualSpacing/>
        <w:rPr>
          <w:rFonts w:ascii="Book Antiqua" w:hAnsi="Book Antiqua"/>
          <w:color w:val="000000"/>
        </w:rPr>
      </w:pPr>
      <w:r w:rsidRPr="0095533F">
        <w:rPr>
          <w:rFonts w:ascii="Book Antiqua" w:hAnsi="Book Antiqua"/>
          <w:color w:val="000000"/>
        </w:rPr>
        <w:t>El agravamiento de las condiciones de detención de una persona perteneciente a minoría étnica, a causa de la situación de discriminación estructural, debe ser especialmente advertido y tenido en cuenta por parte de los operadores del derecho para decidir acerca de una medida restrictiva de la libertad personal, bajo riesgo de ser violatorio del principio de culpabilidad y de proporcionalidad, así como de la prohibición de dispensar tratos degradantes e inhumanos.</w:t>
      </w:r>
    </w:p>
    <w:p w:rsidR="0027715F" w:rsidRPr="0095533F" w:rsidRDefault="0027715F" w:rsidP="003B42CC">
      <w:pPr>
        <w:autoSpaceDE w:val="0"/>
        <w:autoSpaceDN w:val="0"/>
        <w:adjustRightInd w:val="0"/>
        <w:spacing w:before="100" w:beforeAutospacing="1" w:after="120"/>
        <w:ind w:firstLine="567"/>
        <w:contextualSpacing/>
        <w:rPr>
          <w:rFonts w:ascii="Book Antiqua" w:hAnsi="Book Antiqua"/>
          <w:color w:val="000000"/>
        </w:rPr>
      </w:pPr>
    </w:p>
    <w:p w:rsidR="00585FCE" w:rsidRDefault="00E60ED2" w:rsidP="003B42CC">
      <w:pPr>
        <w:spacing w:before="100" w:beforeAutospacing="1" w:after="120"/>
        <w:ind w:firstLine="567"/>
        <w:contextualSpacing/>
        <w:rPr>
          <w:rFonts w:ascii="Book Antiqua" w:hAnsi="Book Antiqua"/>
          <w:b/>
          <w:u w:val="single"/>
        </w:rPr>
      </w:pPr>
      <w:r w:rsidRPr="0095533F">
        <w:rPr>
          <w:rFonts w:ascii="Book Antiqua" w:hAnsi="Book Antiqua"/>
          <w:b/>
          <w:u w:val="single"/>
        </w:rPr>
        <w:t xml:space="preserve">Breve análisis antropológico en relación a la entrevista </w:t>
      </w:r>
      <w:r w:rsidR="00585FCE">
        <w:rPr>
          <w:rFonts w:ascii="Book Antiqua" w:hAnsi="Book Antiqua"/>
          <w:b/>
          <w:u w:val="single"/>
        </w:rPr>
        <w:t xml:space="preserve"> XXXXXX XXXXX</w:t>
      </w:r>
    </w:p>
    <w:p w:rsidR="00E60ED2" w:rsidRPr="0095533F" w:rsidRDefault="00E60ED2" w:rsidP="003B42CC">
      <w:pPr>
        <w:spacing w:before="100" w:beforeAutospacing="1" w:after="120"/>
        <w:ind w:firstLine="567"/>
        <w:contextualSpacing/>
        <w:rPr>
          <w:rFonts w:ascii="Book Antiqua" w:hAnsi="Book Antiqua"/>
        </w:rPr>
      </w:pPr>
      <w:r w:rsidRPr="0095533F">
        <w:rPr>
          <w:rFonts w:ascii="Book Antiqua" w:hAnsi="Book Antiqua"/>
        </w:rPr>
        <w:t xml:space="preserve">De acuerdo a </w:t>
      </w:r>
      <w:proofErr w:type="spellStart"/>
      <w:r w:rsidRPr="0095533F">
        <w:rPr>
          <w:rFonts w:ascii="Book Antiqua" w:hAnsi="Book Antiqua"/>
        </w:rPr>
        <w:t>Brubaker</w:t>
      </w:r>
      <w:proofErr w:type="spellEnd"/>
      <w:r w:rsidRPr="0095533F">
        <w:rPr>
          <w:rFonts w:ascii="Book Antiqua" w:hAnsi="Book Antiqua"/>
        </w:rPr>
        <w:t xml:space="preserve"> y Cooper (2001), la </w:t>
      </w:r>
      <w:r w:rsidRPr="0095533F">
        <w:rPr>
          <w:rFonts w:ascii="Book Antiqua" w:hAnsi="Book Antiqua"/>
          <w:b/>
        </w:rPr>
        <w:t>identidad</w:t>
      </w:r>
      <w:r w:rsidRPr="0095533F">
        <w:rPr>
          <w:rFonts w:ascii="Book Antiqua" w:hAnsi="Book Antiqua"/>
        </w:rPr>
        <w:t xml:space="preserve"> es una categoría nativa, a la cual es menester desnaturalizar, a fin de revelarla como lo que es: una construcción social que se sitúa en los intersticios de auto-identificaciones, adscripciones grupales y asignaciones externas de identidad. Pensar en procesos de </w:t>
      </w:r>
      <w:r w:rsidRPr="0095533F">
        <w:rPr>
          <w:rFonts w:ascii="Book Antiqua" w:hAnsi="Book Antiqua"/>
          <w:b/>
        </w:rPr>
        <w:t>identificación</w:t>
      </w:r>
      <w:r w:rsidRPr="0095533F">
        <w:rPr>
          <w:rFonts w:ascii="Book Antiqua" w:hAnsi="Book Antiqua"/>
        </w:rPr>
        <w:t xml:space="preserve"> permite desglosar analíticamente la categoría social de </w:t>
      </w:r>
      <w:r w:rsidRPr="0095533F">
        <w:rPr>
          <w:rFonts w:ascii="Book Antiqua" w:hAnsi="Book Antiqua"/>
          <w:i/>
        </w:rPr>
        <w:t>identidad</w:t>
      </w:r>
      <w:r w:rsidRPr="0095533F">
        <w:rPr>
          <w:rFonts w:ascii="Book Antiqua" w:hAnsi="Book Antiqua"/>
        </w:rPr>
        <w:t xml:space="preserve"> y considerar la agencia de los sujetos sociales y políticos en su construcción. Aparte de las numerosas auto-identificaciones y adscripciones grupales de los sujetos sociales, “hay otro tipo importante de identificación externa que no tiene un correlato en la auto-identificación: los sistemas de categorización formalizados, codificados y objetivados desarrollados por instituciones poderosas y autoritarias. El estado moderno ha sido uno de los agentes más importantes de la identificación y la categorización entendidas en este último sentido”</w:t>
      </w:r>
      <w:r w:rsidRPr="0095533F">
        <w:rPr>
          <w:rStyle w:val="Refdenotaalpie"/>
          <w:rFonts w:ascii="Book Antiqua" w:hAnsi="Book Antiqua"/>
        </w:rPr>
        <w:footnoteReference w:id="29"/>
      </w:r>
      <w:r w:rsidRPr="0095533F">
        <w:rPr>
          <w:rFonts w:ascii="Book Antiqua" w:hAnsi="Book Antiqua"/>
        </w:rPr>
        <w:t>.</w:t>
      </w:r>
    </w:p>
    <w:p w:rsidR="00E60ED2" w:rsidRPr="0095533F" w:rsidRDefault="00E60ED2" w:rsidP="003B42CC">
      <w:pPr>
        <w:spacing w:before="100" w:beforeAutospacing="1" w:after="120"/>
        <w:ind w:firstLine="567"/>
        <w:contextualSpacing/>
        <w:rPr>
          <w:rFonts w:ascii="Book Antiqua" w:hAnsi="Book Antiqua"/>
          <w:lang w:eastAsia="es-AR"/>
        </w:rPr>
      </w:pPr>
      <w:r w:rsidRPr="0095533F">
        <w:rPr>
          <w:rFonts w:ascii="Book Antiqua" w:hAnsi="Book Antiqua"/>
          <w:lang w:eastAsia="es-AR"/>
        </w:rPr>
        <w:t xml:space="preserve">La configuración de la identidad nacional argentina se ubica en la conformación histórica del Estado-Nación. En “La Nación y sus Otros: raza, </w:t>
      </w:r>
      <w:r w:rsidRPr="0095533F">
        <w:rPr>
          <w:rFonts w:ascii="Book Antiqua" w:hAnsi="Book Antiqua"/>
          <w:lang w:eastAsia="es-AR"/>
        </w:rPr>
        <w:lastRenderedPageBreak/>
        <w:t xml:space="preserve">etnicidad y diversidad religiosa en tiempos de Políticas de la Identidad”, Rita </w:t>
      </w:r>
      <w:proofErr w:type="spellStart"/>
      <w:r w:rsidRPr="0095533F">
        <w:rPr>
          <w:rFonts w:ascii="Book Antiqua" w:hAnsi="Book Antiqua"/>
          <w:lang w:eastAsia="es-AR"/>
        </w:rPr>
        <w:t>Segato</w:t>
      </w:r>
      <w:proofErr w:type="spellEnd"/>
      <w:r w:rsidRPr="0095533F">
        <w:rPr>
          <w:rFonts w:ascii="Book Antiqua" w:hAnsi="Book Antiqua"/>
          <w:lang w:eastAsia="es-AR"/>
        </w:rPr>
        <w:t xml:space="preserve"> arguye que tal configuración significó la construcción de </w:t>
      </w:r>
      <w:r w:rsidRPr="0095533F">
        <w:rPr>
          <w:rFonts w:ascii="Book Antiqua" w:hAnsi="Book Antiqua"/>
          <w:b/>
          <w:lang w:eastAsia="es-AR"/>
        </w:rPr>
        <w:t>tradiciones</w:t>
      </w:r>
      <w:r w:rsidRPr="0095533F">
        <w:rPr>
          <w:rFonts w:ascii="Book Antiqua" w:hAnsi="Book Antiqua"/>
          <w:lang w:eastAsia="es-AR"/>
        </w:rPr>
        <w:t xml:space="preserve"> nacionales propias y con ellas, necesariamente y a la par, la formación nacional de </w:t>
      </w:r>
      <w:r w:rsidRPr="0095533F">
        <w:rPr>
          <w:rFonts w:ascii="Book Antiqua" w:hAnsi="Book Antiqua"/>
          <w:b/>
          <w:lang w:eastAsia="es-AR"/>
        </w:rPr>
        <w:t>alteridades</w:t>
      </w:r>
      <w:r w:rsidRPr="0095533F">
        <w:rPr>
          <w:rFonts w:ascii="Book Antiqua" w:hAnsi="Book Antiqua"/>
          <w:lang w:eastAsia="es-AR"/>
        </w:rPr>
        <w:t>. Se trata de un crisol que impide, per se, cualquier reclamo y demanda de los otros étnicos y raciales, precisamente porque los contiene: “</w:t>
      </w:r>
      <w:r w:rsidRPr="0095533F">
        <w:rPr>
          <w:rFonts w:ascii="Book Antiqua" w:hAnsi="Book Antiqua"/>
          <w:i/>
          <w:iCs/>
          <w:lang w:eastAsia="es-AR"/>
        </w:rPr>
        <w:t>una élite antropofágica que devora al otro y lo transforma en uno de los elementos de su nutrición. La mezcla cultural, en este universo, convive con la exclusión socio-racial, y sirve para su disimulación</w:t>
      </w:r>
      <w:r w:rsidRPr="0095533F">
        <w:rPr>
          <w:rFonts w:ascii="Book Antiqua" w:hAnsi="Book Antiqua"/>
          <w:lang w:eastAsia="es-AR"/>
        </w:rPr>
        <w:t>”</w:t>
      </w:r>
      <w:r w:rsidRPr="0095533F">
        <w:rPr>
          <w:rStyle w:val="Refdenotaalpie"/>
          <w:rFonts w:ascii="Book Antiqua" w:hAnsi="Book Antiqua"/>
          <w:lang w:eastAsia="es-AR"/>
        </w:rPr>
        <w:footnoteReference w:id="30"/>
      </w:r>
      <w:r w:rsidRPr="0095533F">
        <w:rPr>
          <w:rFonts w:ascii="Book Antiqua" w:hAnsi="Book Antiqua"/>
          <w:lang w:eastAsia="es-AR"/>
        </w:rPr>
        <w:t>.</w:t>
      </w:r>
    </w:p>
    <w:p w:rsidR="00E60ED2" w:rsidRPr="0095533F" w:rsidRDefault="00E60ED2" w:rsidP="003B42CC">
      <w:pPr>
        <w:spacing w:before="100" w:beforeAutospacing="1" w:after="120"/>
        <w:ind w:firstLine="567"/>
        <w:contextualSpacing/>
        <w:rPr>
          <w:rFonts w:ascii="Book Antiqua" w:hAnsi="Book Antiqua"/>
          <w:lang w:eastAsia="es-AR"/>
        </w:rPr>
      </w:pPr>
      <w:r w:rsidRPr="0095533F">
        <w:rPr>
          <w:rFonts w:ascii="Book Antiqua" w:hAnsi="Book Antiqua"/>
          <w:lang w:eastAsia="es-AR"/>
        </w:rPr>
        <w:t xml:space="preserve">El proceso de construcción de la identidad nacional hegemónica en Argentina definió diferentes trayectorias para las alteridades, que se corresponden con dos </w:t>
      </w:r>
      <w:r w:rsidRPr="0095533F">
        <w:rPr>
          <w:rFonts w:ascii="Book Antiqua" w:hAnsi="Book Antiqua"/>
          <w:i/>
          <w:iCs/>
          <w:lang w:eastAsia="es-AR"/>
        </w:rPr>
        <w:t>“movilidades estructuradas funcionales”</w:t>
      </w:r>
      <w:r w:rsidRPr="0095533F">
        <w:rPr>
          <w:rStyle w:val="Refdenotaalpie"/>
          <w:rFonts w:ascii="Book Antiqua" w:hAnsi="Book Antiqua"/>
          <w:i/>
          <w:iCs/>
          <w:lang w:eastAsia="es-AR"/>
        </w:rPr>
        <w:footnoteReference w:id="31"/>
      </w:r>
      <w:r w:rsidRPr="0095533F">
        <w:rPr>
          <w:rFonts w:ascii="Book Antiqua" w:hAnsi="Book Antiqua"/>
          <w:lang w:eastAsia="es-AR"/>
        </w:rPr>
        <w:t xml:space="preserve">. La primera, conformando alteridades al ideal </w:t>
      </w:r>
      <w:proofErr w:type="spellStart"/>
      <w:r w:rsidRPr="0095533F">
        <w:rPr>
          <w:rFonts w:ascii="Book Antiqua" w:hAnsi="Book Antiqua"/>
          <w:lang w:eastAsia="es-AR"/>
        </w:rPr>
        <w:t>identitario</w:t>
      </w:r>
      <w:proofErr w:type="spellEnd"/>
      <w:r w:rsidRPr="0095533F">
        <w:rPr>
          <w:rFonts w:ascii="Book Antiqua" w:hAnsi="Book Antiqua"/>
          <w:lang w:eastAsia="es-AR"/>
        </w:rPr>
        <w:t xml:space="preserve"> europeo, generó la posibilidad del ascenso social para los criollos mediante matrimonios con inmigrantes europeos. Los criollos constituyeron, desde entonces, los </w:t>
      </w:r>
      <w:r w:rsidRPr="0095533F">
        <w:rPr>
          <w:rFonts w:ascii="Book Antiqua" w:hAnsi="Book Antiqua"/>
          <w:i/>
          <w:iCs/>
          <w:lang w:eastAsia="es-AR"/>
        </w:rPr>
        <w:t>“argentinos-tipo, esto es, mayormente blancos, de aspecto europeo, y pertenecientes a una extendida clase media”</w:t>
      </w:r>
      <w:r w:rsidRPr="0095533F">
        <w:rPr>
          <w:rStyle w:val="Refdenotaalpie"/>
          <w:rFonts w:ascii="Book Antiqua" w:hAnsi="Book Antiqua"/>
          <w:i/>
          <w:iCs/>
          <w:lang w:eastAsia="es-AR"/>
        </w:rPr>
        <w:footnoteReference w:id="32"/>
      </w:r>
      <w:r w:rsidRPr="0095533F">
        <w:rPr>
          <w:rFonts w:ascii="Book Antiqua" w:hAnsi="Book Antiqua"/>
          <w:lang w:eastAsia="es-AR"/>
        </w:rPr>
        <w:t xml:space="preserve">. La segunda trayectoria </w:t>
      </w:r>
      <w:proofErr w:type="spellStart"/>
      <w:r w:rsidRPr="0095533F">
        <w:rPr>
          <w:rFonts w:ascii="Book Antiqua" w:hAnsi="Book Antiqua"/>
          <w:lang w:eastAsia="es-AR"/>
        </w:rPr>
        <w:t>racializó</w:t>
      </w:r>
      <w:proofErr w:type="spellEnd"/>
      <w:r w:rsidRPr="0095533F">
        <w:rPr>
          <w:rFonts w:ascii="Book Antiqua" w:hAnsi="Book Antiqua"/>
          <w:lang w:eastAsia="es-AR"/>
        </w:rPr>
        <w:t xml:space="preserve"> alteridades internas, “oscureciéndolas” y distanciándolas en el territorio remoto del “Interior”. En los albores de la conformación del Estado-Nación, se incluye en el paradigma de la “civilización” al blanco, europeo, al cristiano, al occidental; y se excluye al indígena, al mestizo, al gaucho y al negro, por considerarlos pertenecientes a la “barbarie”. Se trata de un proceso de </w:t>
      </w:r>
      <w:proofErr w:type="spellStart"/>
      <w:r w:rsidRPr="0095533F">
        <w:rPr>
          <w:rFonts w:ascii="Book Antiqua" w:hAnsi="Book Antiqua"/>
          <w:lang w:eastAsia="es-AR"/>
        </w:rPr>
        <w:t>racialización</w:t>
      </w:r>
      <w:proofErr w:type="spellEnd"/>
      <w:r w:rsidRPr="0095533F">
        <w:rPr>
          <w:rFonts w:ascii="Book Antiqua" w:hAnsi="Book Antiqua"/>
          <w:lang w:eastAsia="es-AR"/>
        </w:rPr>
        <w:t xml:space="preserve"> y </w:t>
      </w:r>
      <w:proofErr w:type="spellStart"/>
      <w:r w:rsidRPr="0095533F">
        <w:rPr>
          <w:rFonts w:ascii="Book Antiqua" w:hAnsi="Book Antiqua"/>
          <w:lang w:eastAsia="es-AR"/>
        </w:rPr>
        <w:t>etnicización</w:t>
      </w:r>
      <w:proofErr w:type="spellEnd"/>
      <w:r w:rsidRPr="0095533F">
        <w:rPr>
          <w:rFonts w:ascii="Book Antiqua" w:hAnsi="Book Antiqua"/>
          <w:lang w:eastAsia="es-AR"/>
        </w:rPr>
        <w:t xml:space="preserve"> que perdura y se resignifica hasta el presente. La dinámica de inclusión-exclusión se amplía a otros grupos sociales, entre los cuales los migrantes y los diversos grupos étnicos, tal como el de los gitanos, son a su vez clasificados y diferenciados según criterios políticos y culturales. En la construcción y reproducción de la identidad nacional, la </w:t>
      </w:r>
      <w:proofErr w:type="spellStart"/>
      <w:r w:rsidRPr="0095533F">
        <w:rPr>
          <w:rFonts w:ascii="Book Antiqua" w:hAnsi="Book Antiqua"/>
          <w:lang w:eastAsia="es-AR"/>
        </w:rPr>
        <w:t>racialización</w:t>
      </w:r>
      <w:proofErr w:type="spellEnd"/>
      <w:r w:rsidRPr="0095533F">
        <w:rPr>
          <w:rFonts w:ascii="Book Antiqua" w:hAnsi="Book Antiqua"/>
          <w:lang w:eastAsia="es-AR"/>
        </w:rPr>
        <w:t xml:space="preserve"> y </w:t>
      </w:r>
      <w:proofErr w:type="spellStart"/>
      <w:r w:rsidRPr="0095533F">
        <w:rPr>
          <w:rFonts w:ascii="Book Antiqua" w:hAnsi="Book Antiqua"/>
          <w:lang w:eastAsia="es-AR"/>
        </w:rPr>
        <w:t>etnicización</w:t>
      </w:r>
      <w:proofErr w:type="spellEnd"/>
      <w:r w:rsidRPr="0095533F">
        <w:rPr>
          <w:rFonts w:ascii="Book Antiqua" w:hAnsi="Book Antiqua"/>
          <w:lang w:eastAsia="es-AR"/>
        </w:rPr>
        <w:t xml:space="preserve"> se fueron instalando como homólogas de la estratificación social que preexistía y a la que a su vez retroalimentaron. </w:t>
      </w:r>
    </w:p>
    <w:p w:rsidR="00E60ED2" w:rsidRPr="0095533F" w:rsidRDefault="00E60ED2" w:rsidP="003B42CC">
      <w:pPr>
        <w:spacing w:before="100" w:beforeAutospacing="1" w:after="120"/>
        <w:ind w:firstLine="567"/>
        <w:contextualSpacing/>
        <w:rPr>
          <w:rFonts w:ascii="Book Antiqua" w:hAnsi="Book Antiqua"/>
          <w:lang w:eastAsia="es-AR"/>
        </w:rPr>
      </w:pPr>
      <w:r w:rsidRPr="0095533F">
        <w:rPr>
          <w:rFonts w:ascii="Book Antiqua" w:hAnsi="Book Antiqua"/>
          <w:lang w:eastAsia="es-AR"/>
        </w:rPr>
        <w:lastRenderedPageBreak/>
        <w:t>Lo expuesto es relevante en tanto es en este marco histórico-antropológico en el q</w:t>
      </w:r>
      <w:r w:rsidR="00585FCE">
        <w:rPr>
          <w:rFonts w:ascii="Book Antiqua" w:hAnsi="Book Antiqua"/>
          <w:lang w:eastAsia="es-AR"/>
        </w:rPr>
        <w:t xml:space="preserve">ue hay que situar culturalmente </w:t>
      </w:r>
      <w:r w:rsidRPr="0095533F">
        <w:rPr>
          <w:rFonts w:ascii="Book Antiqua" w:hAnsi="Book Antiqua"/>
          <w:lang w:eastAsia="es-AR"/>
        </w:rPr>
        <w:t>a</w:t>
      </w:r>
      <w:r w:rsidR="00585FCE">
        <w:rPr>
          <w:rFonts w:ascii="Book Antiqua" w:hAnsi="Book Antiqua"/>
          <w:lang w:eastAsia="es-AR"/>
        </w:rPr>
        <w:t xml:space="preserve"> XXXX XXXXXX</w:t>
      </w:r>
      <w:r w:rsidRPr="0095533F">
        <w:rPr>
          <w:rFonts w:ascii="Book Antiqua" w:hAnsi="Book Antiqua"/>
          <w:lang w:eastAsia="es-AR"/>
        </w:rPr>
        <w:t xml:space="preserve">. </w:t>
      </w:r>
    </w:p>
    <w:p w:rsidR="00E60ED2" w:rsidRPr="0095533F" w:rsidRDefault="00E60ED2" w:rsidP="003B42CC">
      <w:pPr>
        <w:spacing w:before="100" w:beforeAutospacing="1" w:after="120"/>
        <w:ind w:firstLine="567"/>
        <w:contextualSpacing/>
        <w:rPr>
          <w:rFonts w:ascii="Book Antiqua" w:hAnsi="Book Antiqua"/>
          <w:lang w:eastAsia="es-AR"/>
        </w:rPr>
      </w:pPr>
      <w:r w:rsidRPr="0095533F">
        <w:rPr>
          <w:rFonts w:ascii="Book Antiqua" w:hAnsi="Book Antiqua"/>
          <w:lang w:eastAsia="es-AR"/>
        </w:rPr>
        <w:t xml:space="preserve">De la entrevista realizada con la nombrada, se desprende que en el encuentro fundacional con el efectivo policial que dio inicio a su procesamiento, se juegan representaciones y prácticas sociales en un doble sentido: una auto-identificación como gitana y una asignación por parte del efectivo policial –agente estatal- de la identidad gitana, o al menos de una determinada alteridad. Ello se observa en la primera pregunta que le hace el policía. </w:t>
      </w:r>
      <w:r w:rsidR="002835EE" w:rsidRPr="0095533F">
        <w:rPr>
          <w:rFonts w:ascii="Book Antiqua" w:hAnsi="Book Antiqua"/>
          <w:lang w:eastAsia="es-AR"/>
        </w:rPr>
        <w:t xml:space="preserve">       </w:t>
      </w:r>
      <w:r w:rsidRPr="0095533F">
        <w:rPr>
          <w:rFonts w:ascii="Book Antiqua" w:hAnsi="Book Antiqua"/>
          <w:lang w:eastAsia="es-AR"/>
        </w:rPr>
        <w:t xml:space="preserve">La práctica recurrente consiste en que los agentes de las fuerzas de seguridad soliciten el documento de la persona retenida, y a lo sumo su domicilio. En cambio, en la ocasión que nos concierne, la pregunta “¿De dónde </w:t>
      </w:r>
      <w:proofErr w:type="spellStart"/>
      <w:r w:rsidRPr="0095533F">
        <w:rPr>
          <w:rFonts w:ascii="Book Antiqua" w:hAnsi="Book Antiqua"/>
          <w:lang w:eastAsia="es-AR"/>
        </w:rPr>
        <w:t>sos</w:t>
      </w:r>
      <w:proofErr w:type="spellEnd"/>
      <w:r w:rsidRPr="0095533F">
        <w:rPr>
          <w:rFonts w:ascii="Book Antiqua" w:hAnsi="Book Antiqua"/>
          <w:lang w:eastAsia="es-AR"/>
        </w:rPr>
        <w:t xml:space="preserve">?” es tan amplia que implica situar a </w:t>
      </w:r>
      <w:r w:rsidR="00585FCE">
        <w:rPr>
          <w:rFonts w:ascii="Book Antiqua" w:hAnsi="Book Antiqua"/>
          <w:lang w:eastAsia="es-AR"/>
        </w:rPr>
        <w:t xml:space="preserve">XXX XXXXX </w:t>
      </w:r>
      <w:r w:rsidRPr="0095533F">
        <w:rPr>
          <w:rFonts w:ascii="Book Antiqua" w:hAnsi="Book Antiqua"/>
          <w:lang w:eastAsia="es-AR"/>
        </w:rPr>
        <w:t xml:space="preserve">en un origen distinto al del resto de los transeúntes y del mismo policía. Insinúa que éste último la ubica en la esfera de una otredad de algún </w:t>
      </w:r>
      <w:r w:rsidR="00585FCE">
        <w:rPr>
          <w:rFonts w:ascii="Book Antiqua" w:hAnsi="Book Antiqua"/>
          <w:lang w:eastAsia="es-AR"/>
        </w:rPr>
        <w:t>tipo. Si XXXX XXXXX</w:t>
      </w:r>
      <w:r w:rsidRPr="0095533F">
        <w:rPr>
          <w:rFonts w:ascii="Book Antiqua" w:hAnsi="Book Antiqua"/>
          <w:lang w:eastAsia="es-AR"/>
        </w:rPr>
        <w:t>, tal como detalla en la entrevista, no ostentaba vestimenta tradicional gitana, queda en evidencia que el agente policial identifica –</w:t>
      </w:r>
      <w:proofErr w:type="spellStart"/>
      <w:r w:rsidRPr="0095533F">
        <w:rPr>
          <w:rFonts w:ascii="Book Antiqua" w:hAnsi="Book Antiqua"/>
          <w:lang w:eastAsia="es-AR"/>
        </w:rPr>
        <w:t>racialización</w:t>
      </w:r>
      <w:proofErr w:type="spellEnd"/>
      <w:r w:rsidRPr="0095533F">
        <w:rPr>
          <w:rFonts w:ascii="Book Antiqua" w:hAnsi="Book Antiqua"/>
          <w:lang w:eastAsia="es-AR"/>
        </w:rPr>
        <w:t xml:space="preserve">/ </w:t>
      </w:r>
      <w:proofErr w:type="spellStart"/>
      <w:r w:rsidRPr="0095533F">
        <w:rPr>
          <w:rFonts w:ascii="Book Antiqua" w:hAnsi="Book Antiqua"/>
          <w:lang w:eastAsia="es-AR"/>
        </w:rPr>
        <w:t>etnicización</w:t>
      </w:r>
      <w:proofErr w:type="spellEnd"/>
      <w:r w:rsidRPr="0095533F">
        <w:rPr>
          <w:rFonts w:ascii="Book Antiqua" w:hAnsi="Book Antiqua"/>
          <w:lang w:eastAsia="es-AR"/>
        </w:rPr>
        <w:t xml:space="preserve"> mediante- un rasgo fenotípico particular o diferente en ella. Y es por eso que la interpela en</w:t>
      </w:r>
      <w:r w:rsidR="00585FCE">
        <w:rPr>
          <w:rFonts w:ascii="Book Antiqua" w:hAnsi="Book Antiqua"/>
          <w:lang w:eastAsia="es-AR"/>
        </w:rPr>
        <w:t xml:space="preserve"> primer lugar. La XXX XXXXX</w:t>
      </w:r>
      <w:r w:rsidRPr="0095533F">
        <w:rPr>
          <w:rFonts w:ascii="Book Antiqua" w:hAnsi="Book Antiqua"/>
          <w:lang w:eastAsia="es-AR"/>
        </w:rPr>
        <w:t xml:space="preserve"> reconoce ese gesto inicial como causa de su problema: “Me notó cara de gitana”. </w:t>
      </w:r>
    </w:p>
    <w:p w:rsidR="00E60ED2" w:rsidRPr="0095533F" w:rsidRDefault="00E60ED2" w:rsidP="003B42CC">
      <w:pPr>
        <w:spacing w:before="100" w:beforeAutospacing="1" w:after="120"/>
        <w:ind w:firstLine="567"/>
        <w:contextualSpacing/>
        <w:rPr>
          <w:rFonts w:ascii="Book Antiqua" w:hAnsi="Book Antiqua"/>
          <w:lang w:eastAsia="es-AR"/>
        </w:rPr>
      </w:pPr>
      <w:r w:rsidRPr="0095533F">
        <w:rPr>
          <w:rFonts w:ascii="Book Antiqua" w:hAnsi="Book Antiqua"/>
          <w:lang w:eastAsia="es-AR"/>
        </w:rPr>
        <w:t>A lo largo de la entrevista, aparecen varios elementos que denotan la disc</w:t>
      </w:r>
      <w:r w:rsidR="00585FCE">
        <w:rPr>
          <w:rFonts w:ascii="Book Antiqua" w:hAnsi="Book Antiqua"/>
          <w:lang w:eastAsia="es-AR"/>
        </w:rPr>
        <w:t>riminación que XXXXX XXXXXXXX</w:t>
      </w:r>
      <w:r w:rsidRPr="0095533F">
        <w:rPr>
          <w:rFonts w:ascii="Book Antiqua" w:hAnsi="Book Antiqua"/>
          <w:lang w:eastAsia="es-AR"/>
        </w:rPr>
        <w:t xml:space="preserve"> está acostumbrada a padecer. El miedo de los demás, los estereotipos, mitos y estigmas en torno al grupo étnico al cual pertenece, se condensan en el relato acerca de la burla a la que la somete el policía en la Comisaría.</w:t>
      </w:r>
    </w:p>
    <w:p w:rsidR="00E60ED2" w:rsidRPr="0095533F" w:rsidRDefault="00585FCE" w:rsidP="003B42CC">
      <w:pPr>
        <w:spacing w:before="100" w:beforeAutospacing="1" w:after="120"/>
        <w:ind w:firstLine="567"/>
        <w:contextualSpacing/>
        <w:rPr>
          <w:rFonts w:ascii="Book Antiqua" w:hAnsi="Book Antiqua"/>
          <w:lang w:eastAsia="es-AR"/>
        </w:rPr>
      </w:pPr>
      <w:r>
        <w:rPr>
          <w:rFonts w:ascii="Book Antiqua" w:hAnsi="Book Antiqua"/>
          <w:lang w:eastAsia="es-AR"/>
        </w:rPr>
        <w:t>XXXX XXXXXXX</w:t>
      </w:r>
      <w:r w:rsidR="00E60ED2" w:rsidRPr="0095533F">
        <w:rPr>
          <w:rFonts w:ascii="Book Antiqua" w:hAnsi="Book Antiqua"/>
          <w:lang w:eastAsia="es-AR"/>
        </w:rPr>
        <w:t xml:space="preserve"> refiere a una auto-identificación construida en múltiples niveles en torno a lo étnico y lo nacional, donde el sentido de pertenencia choca constantemente con el sentido de la discriminación. </w:t>
      </w:r>
    </w:p>
    <w:p w:rsidR="00E60ED2" w:rsidRPr="0095533F" w:rsidRDefault="00E60ED2" w:rsidP="003B42CC">
      <w:pPr>
        <w:spacing w:before="100" w:beforeAutospacing="1" w:after="120"/>
        <w:ind w:firstLine="567"/>
        <w:contextualSpacing/>
        <w:rPr>
          <w:rFonts w:ascii="Book Antiqua" w:hAnsi="Book Antiqua"/>
          <w:lang w:eastAsia="es-AR"/>
        </w:rPr>
      </w:pPr>
      <w:r w:rsidRPr="0095533F">
        <w:rPr>
          <w:rFonts w:ascii="Book Antiqua" w:hAnsi="Book Antiqua"/>
          <w:lang w:eastAsia="es-AR"/>
        </w:rPr>
        <w:t>Los condicionantes étnicos de su analfabetismo se convierten en impedimentos socioculturales a la hora de comprender, interpretar y apropiarse de una cultura letrada y normativa jurídica que le resulta ajena y desconocida.</w:t>
      </w:r>
    </w:p>
    <w:p w:rsidR="00E60ED2" w:rsidRPr="0095533F" w:rsidRDefault="00E60ED2" w:rsidP="003B42CC">
      <w:pPr>
        <w:pStyle w:val="Prrafodelista"/>
        <w:numPr>
          <w:ilvl w:val="0"/>
          <w:numId w:val="2"/>
        </w:numPr>
        <w:spacing w:before="100" w:beforeAutospacing="1" w:after="120"/>
        <w:ind w:left="0" w:firstLine="567"/>
        <w:rPr>
          <w:rFonts w:ascii="Book Antiqua" w:hAnsi="Book Antiqua"/>
          <w:b/>
          <w:u w:val="single"/>
        </w:rPr>
      </w:pPr>
      <w:r w:rsidRPr="0095533F">
        <w:rPr>
          <w:rFonts w:ascii="Book Antiqua" w:hAnsi="Book Antiqua"/>
          <w:b/>
          <w:u w:val="single"/>
        </w:rPr>
        <w:t>Conclusiones</w:t>
      </w:r>
    </w:p>
    <w:p w:rsidR="00E60ED2" w:rsidRPr="0095533F" w:rsidRDefault="00E60ED2" w:rsidP="003B42CC">
      <w:pPr>
        <w:spacing w:before="100" w:beforeAutospacing="1" w:after="120"/>
        <w:ind w:firstLine="567"/>
        <w:contextualSpacing/>
        <w:rPr>
          <w:rFonts w:ascii="Book Antiqua" w:hAnsi="Book Antiqua"/>
        </w:rPr>
      </w:pPr>
      <w:r w:rsidRPr="0095533F">
        <w:rPr>
          <w:rFonts w:ascii="Book Antiqua" w:hAnsi="Book Antiqua"/>
        </w:rPr>
        <w:t xml:space="preserve">En virtud de lo expuesto, el derecho al acceso a la justicia debe respetar el principio de igualdad y no discriminación, lo cual incluye la obligación de parte de </w:t>
      </w:r>
      <w:r w:rsidRPr="0095533F">
        <w:rPr>
          <w:rFonts w:ascii="Book Antiqua" w:hAnsi="Book Antiqua"/>
        </w:rPr>
        <w:lastRenderedPageBreak/>
        <w:t>los juzgadores de garantizarlo desde una perspectiva culturalmente adecuada. Para ello resulta obligatorio el cumplimiento de determinadas exigencias que surgen de la normativa nacional e internacional, tanto a nivel jurisprudencial como doctrinario, cuyo carácter es de orden público por encontrarse comprometido normas de derechos humanos de acatamiento obligatorio (</w:t>
      </w:r>
      <w:proofErr w:type="spellStart"/>
      <w:r w:rsidRPr="0095533F">
        <w:rPr>
          <w:rFonts w:ascii="Book Antiqua" w:hAnsi="Book Antiqua"/>
          <w:i/>
        </w:rPr>
        <w:t>ius</w:t>
      </w:r>
      <w:proofErr w:type="spellEnd"/>
      <w:r w:rsidRPr="0095533F">
        <w:rPr>
          <w:rFonts w:ascii="Book Antiqua" w:hAnsi="Book Antiqua"/>
          <w:i/>
        </w:rPr>
        <w:t xml:space="preserve"> </w:t>
      </w:r>
      <w:proofErr w:type="spellStart"/>
      <w:r w:rsidRPr="0095533F">
        <w:rPr>
          <w:rFonts w:ascii="Book Antiqua" w:hAnsi="Book Antiqua"/>
          <w:i/>
        </w:rPr>
        <w:t>cogens</w:t>
      </w:r>
      <w:proofErr w:type="spellEnd"/>
      <w:r w:rsidRPr="0095533F">
        <w:rPr>
          <w:rFonts w:ascii="Book Antiqua" w:hAnsi="Book Antiqua"/>
        </w:rPr>
        <w:t xml:space="preserve">) y cuya única reparación posible ulterior es la declaración de nulidad por revestir el carácter de absoluta. </w:t>
      </w:r>
    </w:p>
    <w:p w:rsidR="00E60ED2" w:rsidRPr="0095533F" w:rsidRDefault="00E60ED2" w:rsidP="003B42CC">
      <w:pPr>
        <w:spacing w:before="100" w:beforeAutospacing="1" w:after="120"/>
        <w:ind w:firstLine="567"/>
        <w:contextualSpacing/>
        <w:rPr>
          <w:rFonts w:ascii="Book Antiqua" w:hAnsi="Book Antiqua"/>
        </w:rPr>
      </w:pPr>
      <w:r w:rsidRPr="0095533F">
        <w:rPr>
          <w:rFonts w:ascii="Book Antiqua" w:hAnsi="Book Antiqua"/>
        </w:rPr>
        <w:t>En un resumen de las obligaciones</w:t>
      </w:r>
      <w:r w:rsidR="00441E88" w:rsidRPr="0095533F">
        <w:rPr>
          <w:rFonts w:ascii="Book Antiqua" w:hAnsi="Book Antiqua"/>
        </w:rPr>
        <w:t xml:space="preserve"> reseñadas se deriva que </w:t>
      </w:r>
      <w:r w:rsidR="00E86525" w:rsidRPr="0095533F">
        <w:rPr>
          <w:rFonts w:ascii="Book Antiqua" w:hAnsi="Book Antiqua"/>
        </w:rPr>
        <w:t xml:space="preserve">la carga de la prueba </w:t>
      </w:r>
      <w:r w:rsidRPr="0095533F">
        <w:rPr>
          <w:rFonts w:ascii="Book Antiqua" w:hAnsi="Book Antiqua"/>
        </w:rPr>
        <w:t>para evaluar la condición de vulnerabilidad</w:t>
      </w:r>
      <w:r w:rsidR="008301B6" w:rsidRPr="0095533F">
        <w:rPr>
          <w:rFonts w:ascii="Book Antiqua" w:hAnsi="Book Antiqua"/>
        </w:rPr>
        <w:t xml:space="preserve"> </w:t>
      </w:r>
      <w:proofErr w:type="spellStart"/>
      <w:r w:rsidR="008301B6" w:rsidRPr="0095533F">
        <w:rPr>
          <w:rFonts w:ascii="Book Antiqua" w:hAnsi="Book Antiqua"/>
        </w:rPr>
        <w:t>esta</w:t>
      </w:r>
      <w:proofErr w:type="spellEnd"/>
      <w:r w:rsidR="008301B6" w:rsidRPr="0095533F">
        <w:rPr>
          <w:rFonts w:ascii="Book Antiqua" w:hAnsi="Book Antiqua"/>
        </w:rPr>
        <w:t xml:space="preserve"> en cabeza del Ministerio Público Fiscal y del juez. Ello implica </w:t>
      </w:r>
      <w:r w:rsidRPr="0095533F">
        <w:rPr>
          <w:rFonts w:ascii="Book Antiqua" w:hAnsi="Book Antiqua"/>
        </w:rPr>
        <w:t>descartar que no funcione como atenuante o causa de absolución del hecho inculpado; la exigencia de producir y valorar adecuadamente un peritaje antropológico o dictamen cultural, tendiente a servir como puente intercultural entre mundos de significaciones diversos y que resulta imprescindible para fundamentar las decisiones judiciales, bajo riesgo en caso contrario de configurar la causal de arbitrariedad y de imposibilidad de arribar a la sana crítica racional. Todo esto constituye un conjunto de principios y obligaciones a ser considerado</w:t>
      </w:r>
      <w:r w:rsidR="00272F92" w:rsidRPr="0095533F">
        <w:rPr>
          <w:rFonts w:ascii="Book Antiqua" w:hAnsi="Book Antiqua"/>
        </w:rPr>
        <w:t xml:space="preserve"> por </w:t>
      </w:r>
      <w:r w:rsidRPr="0095533F">
        <w:rPr>
          <w:rFonts w:ascii="Book Antiqua" w:hAnsi="Book Antiqua"/>
        </w:rPr>
        <w:t>los juzgadores en general, con el fin de garantizar un acceso a la justicia culturalmente adecuado.</w:t>
      </w:r>
    </w:p>
    <w:p w:rsidR="00E60ED2" w:rsidRPr="0095533F" w:rsidRDefault="00E60ED2" w:rsidP="003B42CC">
      <w:pPr>
        <w:spacing w:before="100" w:beforeAutospacing="1" w:after="120"/>
        <w:ind w:firstLine="567"/>
        <w:contextualSpacing/>
        <w:rPr>
          <w:rFonts w:ascii="Book Antiqua" w:hAnsi="Book Antiqua"/>
        </w:rPr>
      </w:pPr>
      <w:r w:rsidRPr="0095533F">
        <w:rPr>
          <w:rFonts w:ascii="Book Antiqua" w:hAnsi="Book Antiqua"/>
        </w:rPr>
        <w:t>Al mismo tiempo, existen factores a considerar como relevantes para concluir respecto del grado y modo de comprensión normativa para arribar a un juicio de reproche penal. Entre los más destacables se puede mencionar a la interferencia en la socialización primaria, por vía de la deserción escolar sin concluir con el aprendizaje de lectoescritura y, en tales casos, la consecuente condición de analfabeto; el tipo de relación con el resto del entorno social, el vínculo amplio con las familias al interior de la cultura gitana, la exclusión social y la pobreza padecida en todos los órdenes de la vida social (escuela, hospitales, tribunales, empresas, comercios, lugares de trabajo) como causa de la discriminación estructural.</w:t>
      </w:r>
    </w:p>
    <w:p w:rsidR="00261575" w:rsidRDefault="00261575" w:rsidP="003B42CC">
      <w:pPr>
        <w:spacing w:before="100" w:beforeAutospacing="1" w:after="120"/>
        <w:ind w:firstLine="567"/>
        <w:contextualSpacing/>
        <w:rPr>
          <w:rFonts w:ascii="Book Antiqua" w:hAnsi="Book Antiqua"/>
        </w:rPr>
      </w:pPr>
    </w:p>
    <w:p w:rsidR="00E60ED2" w:rsidRPr="0095533F" w:rsidRDefault="00E60ED2" w:rsidP="00261575">
      <w:pPr>
        <w:spacing w:before="100" w:beforeAutospacing="1" w:after="120"/>
        <w:ind w:firstLine="567"/>
        <w:contextualSpacing/>
        <w:rPr>
          <w:rFonts w:ascii="Book Antiqua" w:hAnsi="Book Antiqua"/>
        </w:rPr>
      </w:pPr>
      <w:r w:rsidRPr="0095533F">
        <w:rPr>
          <w:rFonts w:ascii="Book Antiqua" w:hAnsi="Book Antiqua"/>
        </w:rPr>
        <w:t xml:space="preserve">Finalmente, el relato de la entrevista oral </w:t>
      </w:r>
      <w:r w:rsidR="00585FCE">
        <w:rPr>
          <w:rFonts w:ascii="Book Antiqua" w:hAnsi="Book Antiqua"/>
        </w:rPr>
        <w:t xml:space="preserve">mantenida con XXXX XXXXXXX </w:t>
      </w:r>
      <w:bookmarkStart w:id="0" w:name="_GoBack"/>
      <w:bookmarkEnd w:id="0"/>
      <w:r w:rsidRPr="0095533F">
        <w:rPr>
          <w:rFonts w:ascii="Book Antiqua" w:hAnsi="Book Antiqua"/>
        </w:rPr>
        <w:t xml:space="preserve">aporta elementos que contribuyen a la comprensión de un enfoque jurídico respetuoso de la diversidad cultural. </w:t>
      </w:r>
    </w:p>
    <w:p w:rsidR="00510BDB" w:rsidRPr="0095533F" w:rsidRDefault="00510BDB" w:rsidP="003B42CC">
      <w:pPr>
        <w:spacing w:before="100" w:beforeAutospacing="1" w:after="120"/>
        <w:ind w:firstLine="567"/>
        <w:rPr>
          <w:rFonts w:ascii="Book Antiqua" w:eastAsia="Calibri" w:hAnsi="Book Antiqua"/>
        </w:rPr>
      </w:pPr>
      <w:r w:rsidRPr="0095533F">
        <w:rPr>
          <w:rFonts w:ascii="Book Antiqua" w:eastAsia="Calibri" w:hAnsi="Book Antiqua"/>
        </w:rPr>
        <w:lastRenderedPageBreak/>
        <w:t>Buenos Aires, 13 de julio de 2016.</w:t>
      </w:r>
    </w:p>
    <w:p w:rsidR="00510BDB" w:rsidRDefault="00510BDB" w:rsidP="003B42CC">
      <w:pPr>
        <w:spacing w:before="100" w:beforeAutospacing="1" w:after="120"/>
        <w:ind w:firstLine="567"/>
        <w:rPr>
          <w:rFonts w:ascii="Book Antiqua" w:eastAsia="Calibri" w:hAnsi="Book Antiqua"/>
        </w:rPr>
      </w:pPr>
    </w:p>
    <w:p w:rsidR="003B42CC" w:rsidRPr="0095533F" w:rsidRDefault="003B42CC" w:rsidP="003B42CC">
      <w:pPr>
        <w:spacing w:before="100" w:beforeAutospacing="1" w:after="120"/>
        <w:ind w:firstLine="567"/>
        <w:rPr>
          <w:rFonts w:ascii="Book Antiqua" w:eastAsia="Calibri" w:hAnsi="Book Antiqua"/>
        </w:rPr>
      </w:pPr>
    </w:p>
    <w:p w:rsidR="00510BDB" w:rsidRPr="00E96711" w:rsidRDefault="00510BDB" w:rsidP="003B42CC">
      <w:pPr>
        <w:spacing w:line="240" w:lineRule="auto"/>
        <w:ind w:firstLine="567"/>
        <w:rPr>
          <w:rFonts w:ascii="Book Antiqua" w:eastAsia="Calibri" w:hAnsi="Book Antiqua"/>
          <w:smallCaps/>
          <w:sz w:val="16"/>
          <w:szCs w:val="16"/>
        </w:rPr>
      </w:pPr>
      <w:r w:rsidRPr="00E96711">
        <w:rPr>
          <w:rFonts w:ascii="Book Antiqua" w:eastAsia="Calibri" w:hAnsi="Book Antiqua"/>
          <w:smallCaps/>
          <w:sz w:val="16"/>
          <w:szCs w:val="16"/>
        </w:rPr>
        <w:t xml:space="preserve">              </w:t>
      </w:r>
      <w:r w:rsidR="002835EE" w:rsidRPr="00E96711">
        <w:rPr>
          <w:rFonts w:ascii="Book Antiqua" w:eastAsia="Calibri" w:hAnsi="Book Antiqua"/>
          <w:smallCaps/>
          <w:sz w:val="16"/>
          <w:szCs w:val="16"/>
        </w:rPr>
        <w:t xml:space="preserve">        </w:t>
      </w:r>
      <w:r w:rsidRPr="00E96711">
        <w:rPr>
          <w:rFonts w:ascii="Book Antiqua" w:eastAsia="Calibri" w:hAnsi="Book Antiqua"/>
          <w:smallCaps/>
          <w:sz w:val="16"/>
          <w:szCs w:val="16"/>
        </w:rPr>
        <w:t xml:space="preserve">Dr. Javier Azzali                                                                                 </w:t>
      </w:r>
      <w:r w:rsidR="002835EE" w:rsidRPr="00E96711">
        <w:rPr>
          <w:rFonts w:ascii="Book Antiqua" w:eastAsia="Calibri" w:hAnsi="Book Antiqua"/>
          <w:smallCaps/>
          <w:sz w:val="16"/>
          <w:szCs w:val="16"/>
        </w:rPr>
        <w:t xml:space="preserve">    </w:t>
      </w:r>
      <w:r w:rsidRPr="00E96711">
        <w:rPr>
          <w:rFonts w:ascii="Book Antiqua" w:eastAsia="Calibri" w:hAnsi="Book Antiqua"/>
          <w:smallCaps/>
          <w:sz w:val="16"/>
          <w:szCs w:val="16"/>
        </w:rPr>
        <w:t xml:space="preserve">   Dr. Sebastian Tedeschi</w:t>
      </w:r>
    </w:p>
    <w:p w:rsidR="00510BDB" w:rsidRPr="00E96711" w:rsidRDefault="00510BDB" w:rsidP="003B42CC">
      <w:pPr>
        <w:spacing w:line="240" w:lineRule="auto"/>
        <w:ind w:firstLine="567"/>
        <w:rPr>
          <w:rFonts w:ascii="Book Antiqua" w:eastAsia="Calibri" w:hAnsi="Book Antiqua"/>
          <w:smallCaps/>
          <w:sz w:val="16"/>
          <w:szCs w:val="16"/>
        </w:rPr>
      </w:pPr>
      <w:r w:rsidRPr="00E96711">
        <w:rPr>
          <w:rFonts w:ascii="Book Antiqua" w:eastAsia="Calibri" w:hAnsi="Book Antiqua"/>
          <w:smallCaps/>
          <w:sz w:val="16"/>
          <w:szCs w:val="16"/>
        </w:rPr>
        <w:t xml:space="preserve">    Programa de Diversidad Cultural                              Coordinador del Programa de Diversidad Cultural      </w:t>
      </w:r>
    </w:p>
    <w:p w:rsidR="008B1804" w:rsidRPr="00E96711" w:rsidRDefault="00510BDB" w:rsidP="003B42CC">
      <w:pPr>
        <w:spacing w:line="240" w:lineRule="auto"/>
        <w:ind w:firstLine="567"/>
        <w:rPr>
          <w:rFonts w:ascii="Book Antiqua" w:eastAsia="Calibri" w:hAnsi="Book Antiqua"/>
          <w:smallCaps/>
          <w:sz w:val="16"/>
          <w:szCs w:val="16"/>
        </w:rPr>
      </w:pPr>
      <w:r w:rsidRPr="00E96711">
        <w:rPr>
          <w:rFonts w:ascii="Book Antiqua" w:eastAsia="Calibri" w:hAnsi="Book Antiqua"/>
          <w:smallCaps/>
          <w:sz w:val="16"/>
          <w:szCs w:val="16"/>
        </w:rPr>
        <w:t xml:space="preserve">     Defensoría General de la Nación                                                    Defensoría General de la Nación</w:t>
      </w:r>
    </w:p>
    <w:sectPr w:rsidR="008B1804" w:rsidRPr="00E96711" w:rsidSect="00261575">
      <w:headerReference w:type="default" r:id="rId8"/>
      <w:footerReference w:type="default" r:id="rId9"/>
      <w:pgSz w:w="12242" w:h="20163" w:code="5"/>
      <w:pgMar w:top="3969" w:right="1134" w:bottom="1418" w:left="226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ED2" w:rsidRDefault="00E60ED2" w:rsidP="00E60ED2">
      <w:pPr>
        <w:spacing w:line="240" w:lineRule="auto"/>
      </w:pPr>
      <w:r>
        <w:separator/>
      </w:r>
    </w:p>
  </w:endnote>
  <w:endnote w:type="continuationSeparator" w:id="0">
    <w:p w:rsidR="00E60ED2" w:rsidRDefault="00E60ED2" w:rsidP="00E60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DKAMK+Arial">
    <w:altName w:val="Arial"/>
    <w:panose1 w:val="00000000000000000000"/>
    <w:charset w:val="00"/>
    <w:family w:val="swiss"/>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Signet Roundhand ATT">
    <w:altName w:val="Courier New"/>
    <w:panose1 w:val="00000000000000000000"/>
    <w:charset w:val="00"/>
    <w:family w:val="script"/>
    <w:notTrueType/>
    <w:pitch w:val="variable"/>
    <w:sig w:usb0="00000003" w:usb1="00000000" w:usb2="00000000" w:usb3="00000000" w:csb0="00000001" w:csb1="00000000"/>
  </w:font>
  <w:font w:name="Signet Roundhand">
    <w:altName w:val="Courier New"/>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 Antiqua" w:hAnsi="Book Antiqua"/>
      </w:rPr>
      <w:id w:val="-2099630076"/>
      <w:docPartObj>
        <w:docPartGallery w:val="Page Numbers (Bottom of Page)"/>
        <w:docPartUnique/>
      </w:docPartObj>
    </w:sdtPr>
    <w:sdtEndPr/>
    <w:sdtContent>
      <w:p w:rsidR="00B51DCE" w:rsidRPr="00B51DCE" w:rsidRDefault="00B51DCE">
        <w:pPr>
          <w:pStyle w:val="Piedepgina"/>
          <w:jc w:val="center"/>
          <w:rPr>
            <w:rFonts w:ascii="Book Antiqua" w:hAnsi="Book Antiqua"/>
          </w:rPr>
        </w:pPr>
        <w:r w:rsidRPr="00B51DCE">
          <w:rPr>
            <w:rFonts w:ascii="Book Antiqua" w:hAnsi="Book Antiqua"/>
          </w:rPr>
          <w:fldChar w:fldCharType="begin"/>
        </w:r>
        <w:r w:rsidRPr="00B51DCE">
          <w:rPr>
            <w:rFonts w:ascii="Book Antiqua" w:hAnsi="Book Antiqua"/>
          </w:rPr>
          <w:instrText>PAGE   \* MERGEFORMAT</w:instrText>
        </w:r>
        <w:r w:rsidRPr="00B51DCE">
          <w:rPr>
            <w:rFonts w:ascii="Book Antiqua" w:hAnsi="Book Antiqua"/>
          </w:rPr>
          <w:fldChar w:fldCharType="separate"/>
        </w:r>
        <w:r w:rsidR="00585FCE">
          <w:rPr>
            <w:rFonts w:ascii="Book Antiqua" w:hAnsi="Book Antiqua"/>
            <w:noProof/>
          </w:rPr>
          <w:t>19</w:t>
        </w:r>
        <w:r w:rsidRPr="00B51DCE">
          <w:rPr>
            <w:rFonts w:ascii="Book Antiqua" w:hAnsi="Book Antiqua"/>
          </w:rPr>
          <w:fldChar w:fldCharType="end"/>
        </w:r>
      </w:p>
    </w:sdtContent>
  </w:sdt>
  <w:p w:rsidR="00B51DCE" w:rsidRPr="00B51DCE" w:rsidRDefault="00B51DCE">
    <w:pPr>
      <w:pStyle w:val="Piedepgina"/>
      <w:rPr>
        <w:rFonts w:ascii="Book Antiqua" w:hAnsi="Book Antiq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ED2" w:rsidRDefault="00E60ED2" w:rsidP="00E60ED2">
      <w:pPr>
        <w:spacing w:line="240" w:lineRule="auto"/>
      </w:pPr>
      <w:r>
        <w:separator/>
      </w:r>
    </w:p>
  </w:footnote>
  <w:footnote w:type="continuationSeparator" w:id="0">
    <w:p w:rsidR="00E60ED2" w:rsidRDefault="00E60ED2" w:rsidP="00E60ED2">
      <w:pPr>
        <w:spacing w:line="240" w:lineRule="auto"/>
      </w:pPr>
      <w:r>
        <w:continuationSeparator/>
      </w:r>
    </w:p>
  </w:footnote>
  <w:footnote w:id="1">
    <w:p w:rsidR="00E60ED2" w:rsidRPr="008F6A95" w:rsidRDefault="00E60ED2" w:rsidP="008F6A95">
      <w:pPr>
        <w:pStyle w:val="Textonotapie"/>
        <w:spacing w:line="276" w:lineRule="auto"/>
        <w:jc w:val="both"/>
        <w:rPr>
          <w:rFonts w:ascii="Book Antiqua" w:hAnsi="Book Antiqua"/>
        </w:rPr>
      </w:pPr>
      <w:r w:rsidRPr="008F6A95">
        <w:rPr>
          <w:rStyle w:val="Refdenotaalpie"/>
          <w:rFonts w:ascii="Book Antiqua" w:hAnsi="Book Antiqua"/>
        </w:rPr>
        <w:footnoteRef/>
      </w:r>
      <w:r w:rsidRPr="008F6A95">
        <w:rPr>
          <w:rFonts w:ascii="Book Antiqua" w:hAnsi="Book Antiqua"/>
        </w:rPr>
        <w:t xml:space="preserve"> El artículo 18 de la Declaración Americana de los Derechos y Deberes del Hombre; el artículo 2.3 del Pacto Internacional de Derechos Civiles y Políticos; la Declaración Universal de Derechos Humanos (arts. 8 y 10); la Convención Americana sobre Derechos Humanos (arts. 8.1 y 25); la Convención Americana sobre Derechos y Deberes del Hombre (art. XXIV); la Corte IDH en su Opinión Consultiva OC-11/90 DEL 10 de agosto de 1990.</w:t>
      </w:r>
    </w:p>
  </w:footnote>
  <w:footnote w:id="2">
    <w:p w:rsidR="00E60ED2" w:rsidRPr="008F6A95" w:rsidRDefault="00E60ED2" w:rsidP="008F6A95">
      <w:pPr>
        <w:pStyle w:val="Textonotapie"/>
        <w:spacing w:line="276" w:lineRule="auto"/>
        <w:jc w:val="both"/>
        <w:rPr>
          <w:rFonts w:ascii="Book Antiqua" w:hAnsi="Book Antiqua"/>
        </w:rPr>
      </w:pPr>
      <w:r w:rsidRPr="008F6A95">
        <w:rPr>
          <w:rStyle w:val="Refdenotaalpie"/>
          <w:rFonts w:ascii="Book Antiqua" w:hAnsi="Book Antiqua"/>
        </w:rPr>
        <w:footnoteRef/>
      </w:r>
      <w:r w:rsidRPr="008F6A95">
        <w:rPr>
          <w:rFonts w:ascii="Book Antiqua" w:hAnsi="Book Antiqua"/>
        </w:rPr>
        <w:t xml:space="preserve"> “Derecho Penal y diferencias culturales: el caso peruano”, Revista </w:t>
      </w:r>
      <w:r w:rsidRPr="008F6A95">
        <w:rPr>
          <w:rFonts w:ascii="Book Antiqua" w:hAnsi="Book Antiqua"/>
          <w:i/>
          <w:iCs/>
        </w:rPr>
        <w:t>Derecho penal y criminología</w:t>
      </w:r>
      <w:r w:rsidRPr="008F6A95">
        <w:rPr>
          <w:rFonts w:ascii="Book Antiqua" w:hAnsi="Book Antiqua"/>
        </w:rPr>
        <w:t xml:space="preserve"> 29, n</w:t>
      </w:r>
      <w:r w:rsidRPr="008F6A95">
        <w:rPr>
          <w:rFonts w:ascii="Book Antiqua" w:hAnsi="Book Antiqua"/>
          <w:vertAlign w:val="superscript"/>
        </w:rPr>
        <w:t>o</w:t>
      </w:r>
      <w:r w:rsidRPr="008F6A95">
        <w:rPr>
          <w:rFonts w:ascii="Book Antiqua" w:hAnsi="Book Antiqua"/>
        </w:rPr>
        <w:t xml:space="preserve"> 86–87 (2008): 59–94, Universidad Externado Colombia, Bogotá (Colombia).</w:t>
      </w:r>
    </w:p>
  </w:footnote>
  <w:footnote w:id="3">
    <w:p w:rsidR="00E60ED2" w:rsidRPr="008F6A95" w:rsidRDefault="00E60ED2" w:rsidP="008F6A95">
      <w:pPr>
        <w:pStyle w:val="Textonotapie"/>
        <w:spacing w:line="276" w:lineRule="auto"/>
        <w:jc w:val="both"/>
        <w:rPr>
          <w:rFonts w:ascii="Book Antiqua" w:hAnsi="Book Antiqua"/>
        </w:rPr>
      </w:pPr>
      <w:r w:rsidRPr="008F6A95">
        <w:rPr>
          <w:rStyle w:val="Refdenotaalpie"/>
          <w:rFonts w:ascii="Book Antiqua" w:hAnsi="Book Antiqua"/>
        </w:rPr>
        <w:footnoteRef/>
      </w:r>
      <w:r w:rsidRPr="008F6A95">
        <w:rPr>
          <w:rFonts w:ascii="Book Antiqua" w:hAnsi="Book Antiqua" w:cs="DDKAMK+Arial"/>
          <w:color w:val="000000"/>
        </w:rPr>
        <w:t xml:space="preserve"> </w:t>
      </w:r>
      <w:r w:rsidRPr="008F6A95">
        <w:rPr>
          <w:rFonts w:ascii="Book Antiqua" w:hAnsi="Book Antiqua"/>
        </w:rPr>
        <w:t xml:space="preserve">“Derecho Penal, Parte General”, </w:t>
      </w:r>
      <w:proofErr w:type="spellStart"/>
      <w:r w:rsidRPr="008F6A95">
        <w:rPr>
          <w:rFonts w:ascii="Book Antiqua" w:hAnsi="Book Antiqua"/>
        </w:rPr>
        <w:t>Zaffaroni</w:t>
      </w:r>
      <w:proofErr w:type="spellEnd"/>
      <w:r w:rsidRPr="008F6A95">
        <w:rPr>
          <w:rFonts w:ascii="Book Antiqua" w:hAnsi="Book Antiqua"/>
        </w:rPr>
        <w:t>/</w:t>
      </w:r>
      <w:proofErr w:type="spellStart"/>
      <w:r w:rsidRPr="008F6A95">
        <w:rPr>
          <w:rFonts w:ascii="Book Antiqua" w:hAnsi="Book Antiqua"/>
        </w:rPr>
        <w:t>Alagia</w:t>
      </w:r>
      <w:proofErr w:type="spellEnd"/>
      <w:r w:rsidRPr="008F6A95">
        <w:rPr>
          <w:rFonts w:ascii="Book Antiqua" w:hAnsi="Book Antiqua"/>
        </w:rPr>
        <w:t>/</w:t>
      </w:r>
      <w:proofErr w:type="spellStart"/>
      <w:r w:rsidRPr="008F6A95">
        <w:rPr>
          <w:rFonts w:ascii="Book Antiqua" w:hAnsi="Book Antiqua"/>
        </w:rPr>
        <w:t>Slokar</w:t>
      </w:r>
      <w:proofErr w:type="spellEnd"/>
      <w:r w:rsidRPr="008F6A95">
        <w:rPr>
          <w:rFonts w:ascii="Book Antiqua" w:hAnsi="Book Antiqua"/>
        </w:rPr>
        <w:t xml:space="preserve">, </w:t>
      </w:r>
      <w:proofErr w:type="spellStart"/>
      <w:r w:rsidRPr="008F6A95">
        <w:rPr>
          <w:rFonts w:ascii="Book Antiqua" w:hAnsi="Book Antiqua"/>
        </w:rPr>
        <w:t>Ediar</w:t>
      </w:r>
      <w:proofErr w:type="spellEnd"/>
      <w:r w:rsidRPr="008F6A95">
        <w:rPr>
          <w:rFonts w:ascii="Book Antiqua" w:hAnsi="Book Antiqua"/>
        </w:rPr>
        <w:t>, 2000, Buenos Aires, p. 650.</w:t>
      </w:r>
    </w:p>
  </w:footnote>
  <w:footnote w:id="4">
    <w:p w:rsidR="00E60ED2" w:rsidRPr="008F6A95" w:rsidRDefault="00E60ED2" w:rsidP="008F6A95">
      <w:pPr>
        <w:pStyle w:val="Textonotapie"/>
        <w:spacing w:line="276" w:lineRule="auto"/>
        <w:jc w:val="both"/>
        <w:rPr>
          <w:rFonts w:ascii="Book Antiqua" w:hAnsi="Book Antiqua"/>
        </w:rPr>
      </w:pPr>
      <w:r w:rsidRPr="008F6A95">
        <w:rPr>
          <w:rFonts w:ascii="Book Antiqua" w:hAnsi="Book Antiqua"/>
        </w:rPr>
        <w:footnoteRef/>
      </w:r>
      <w:r w:rsidRPr="008F6A95">
        <w:rPr>
          <w:rFonts w:ascii="Book Antiqua" w:hAnsi="Book Antiqua"/>
        </w:rPr>
        <w:t xml:space="preserve"> </w:t>
      </w:r>
      <w:proofErr w:type="spellStart"/>
      <w:r w:rsidRPr="008F6A95">
        <w:rPr>
          <w:rFonts w:ascii="Book Antiqua" w:hAnsi="Book Antiqua"/>
        </w:rPr>
        <w:t>Idem</w:t>
      </w:r>
      <w:proofErr w:type="spellEnd"/>
      <w:r w:rsidRPr="008F6A95">
        <w:rPr>
          <w:rFonts w:ascii="Book Antiqua" w:hAnsi="Book Antiqua"/>
        </w:rPr>
        <w:t xml:space="preserve">. </w:t>
      </w:r>
      <w:proofErr w:type="spellStart"/>
      <w:r w:rsidRPr="008F6A95">
        <w:rPr>
          <w:rFonts w:ascii="Book Antiqua" w:hAnsi="Book Antiqua"/>
        </w:rPr>
        <w:t>Zaffaroni</w:t>
      </w:r>
      <w:proofErr w:type="spellEnd"/>
      <w:r w:rsidRPr="008F6A95">
        <w:rPr>
          <w:rFonts w:ascii="Book Antiqua" w:hAnsi="Book Antiqua"/>
        </w:rPr>
        <w:t xml:space="preserve"> y otros, p. 704.</w:t>
      </w:r>
    </w:p>
  </w:footnote>
  <w:footnote w:id="5">
    <w:p w:rsidR="00E60ED2" w:rsidRPr="008F6A95" w:rsidRDefault="00E60ED2" w:rsidP="008F6A95">
      <w:pPr>
        <w:pStyle w:val="Textonotapie"/>
        <w:spacing w:line="276" w:lineRule="auto"/>
        <w:jc w:val="both"/>
        <w:rPr>
          <w:rFonts w:ascii="Book Antiqua" w:hAnsi="Book Antiqua"/>
        </w:rPr>
      </w:pPr>
      <w:r w:rsidRPr="008F6A95">
        <w:rPr>
          <w:rStyle w:val="Refdenotaalpie"/>
          <w:rFonts w:ascii="Book Antiqua" w:hAnsi="Book Antiqua"/>
        </w:rPr>
        <w:footnoteRef/>
      </w:r>
      <w:r w:rsidRPr="008F6A95">
        <w:rPr>
          <w:rFonts w:ascii="Book Antiqua" w:hAnsi="Book Antiqua"/>
        </w:rPr>
        <w:t xml:space="preserve"> Corte IDH, Caso Rosendo Cantú y otra Vs. México. Excepción preliminar, Fondo, Reparaciones y Costas. Sentencia de 31 de agosto de 2010. Serie C nro. 216.</w:t>
      </w:r>
    </w:p>
  </w:footnote>
  <w:footnote w:id="6">
    <w:p w:rsidR="00E60ED2" w:rsidRPr="008F6A95" w:rsidRDefault="00E60ED2" w:rsidP="008F6A95">
      <w:pPr>
        <w:pStyle w:val="Textonotapie"/>
        <w:spacing w:line="276" w:lineRule="auto"/>
        <w:jc w:val="both"/>
        <w:rPr>
          <w:rFonts w:ascii="Book Antiqua" w:hAnsi="Book Antiqua"/>
        </w:rPr>
      </w:pPr>
      <w:r w:rsidRPr="008F6A95">
        <w:rPr>
          <w:rFonts w:ascii="Book Antiqua" w:hAnsi="Book Antiqua"/>
        </w:rPr>
        <w:footnoteRef/>
      </w:r>
      <w:r w:rsidRPr="008F6A95">
        <w:rPr>
          <w:rFonts w:ascii="Book Antiqua" w:hAnsi="Book Antiqua"/>
        </w:rPr>
        <w:t xml:space="preserve"> Suprema Corte de Justicia de la Nación (México), 2da edición, 2014, p. 41.</w:t>
      </w:r>
    </w:p>
  </w:footnote>
  <w:footnote w:id="7">
    <w:p w:rsidR="00E60ED2" w:rsidRPr="008F6A95" w:rsidRDefault="00E60ED2" w:rsidP="008F6A95">
      <w:pPr>
        <w:pStyle w:val="Textonotapie"/>
        <w:spacing w:line="276" w:lineRule="auto"/>
        <w:jc w:val="both"/>
        <w:rPr>
          <w:rFonts w:ascii="Book Antiqua" w:hAnsi="Book Antiqua"/>
          <w:lang w:val="es-ES"/>
        </w:rPr>
      </w:pPr>
      <w:r w:rsidRPr="008F6A95">
        <w:rPr>
          <w:rStyle w:val="Refdenotaalpie"/>
          <w:rFonts w:ascii="Book Antiqua" w:hAnsi="Book Antiqua"/>
        </w:rPr>
        <w:footnoteRef/>
      </w:r>
      <w:r w:rsidRPr="008F6A95">
        <w:rPr>
          <w:rFonts w:ascii="Book Antiqua" w:hAnsi="Book Antiqua"/>
        </w:rPr>
        <w:t xml:space="preserve"> Corte IDH, Caso Comunidad Indígena </w:t>
      </w:r>
      <w:proofErr w:type="spellStart"/>
      <w:r w:rsidRPr="008F6A95">
        <w:rPr>
          <w:rFonts w:ascii="Book Antiqua" w:hAnsi="Book Antiqua"/>
        </w:rPr>
        <w:t>Xákmok</w:t>
      </w:r>
      <w:proofErr w:type="spellEnd"/>
      <w:r w:rsidRPr="008F6A95">
        <w:rPr>
          <w:rFonts w:ascii="Book Antiqua" w:hAnsi="Book Antiqua"/>
        </w:rPr>
        <w:t xml:space="preserve"> </w:t>
      </w:r>
      <w:proofErr w:type="spellStart"/>
      <w:r w:rsidRPr="008F6A95">
        <w:rPr>
          <w:rFonts w:ascii="Book Antiqua" w:hAnsi="Book Antiqua"/>
        </w:rPr>
        <w:t>Kásek</w:t>
      </w:r>
      <w:proofErr w:type="spellEnd"/>
      <w:r w:rsidRPr="008F6A95">
        <w:rPr>
          <w:rFonts w:ascii="Book Antiqua" w:hAnsi="Book Antiqua"/>
        </w:rPr>
        <w:t xml:space="preserve"> vs. Paraguay. Fondo, Reparaciones y Costas. Sentencia de 24 de agosto de 2010. </w:t>
      </w:r>
      <w:r w:rsidRPr="008F6A95">
        <w:rPr>
          <w:rFonts w:ascii="Book Antiqua" w:hAnsi="Book Antiqua"/>
          <w:lang w:val="es-ES"/>
        </w:rPr>
        <w:t xml:space="preserve">Serie C </w:t>
      </w:r>
      <w:proofErr w:type="spellStart"/>
      <w:r w:rsidRPr="008F6A95">
        <w:rPr>
          <w:rFonts w:ascii="Book Antiqua" w:hAnsi="Book Antiqua"/>
          <w:lang w:val="es-ES"/>
        </w:rPr>
        <w:t>nor</w:t>
      </w:r>
      <w:proofErr w:type="spellEnd"/>
      <w:r w:rsidRPr="008F6A95">
        <w:rPr>
          <w:rFonts w:ascii="Book Antiqua" w:hAnsi="Book Antiqua"/>
          <w:lang w:val="es-ES"/>
        </w:rPr>
        <w:t>. 214.</w:t>
      </w:r>
    </w:p>
  </w:footnote>
  <w:footnote w:id="8">
    <w:p w:rsidR="00E60ED2" w:rsidRPr="008F6A95" w:rsidRDefault="00E60ED2" w:rsidP="008F6A95">
      <w:pPr>
        <w:spacing w:line="276" w:lineRule="auto"/>
        <w:rPr>
          <w:rFonts w:ascii="Book Antiqua" w:hAnsi="Book Antiqua"/>
          <w:sz w:val="20"/>
          <w:szCs w:val="20"/>
        </w:rPr>
      </w:pPr>
      <w:r w:rsidRPr="008F6A95">
        <w:rPr>
          <w:rStyle w:val="Refdenotaalpie"/>
          <w:rFonts w:ascii="Book Antiqua" w:hAnsi="Book Antiqua"/>
          <w:sz w:val="20"/>
          <w:szCs w:val="20"/>
        </w:rPr>
        <w:footnoteRef/>
      </w:r>
      <w:r w:rsidRPr="008F6A95">
        <w:rPr>
          <w:rFonts w:ascii="Book Antiqua" w:hAnsi="Book Antiqua"/>
          <w:sz w:val="20"/>
          <w:szCs w:val="20"/>
        </w:rPr>
        <w:t xml:space="preserve"> Hacia un plan nacional contra la discriminación: la discriminación en Argentina - 1a ed. - Buenos Aires: </w:t>
      </w:r>
      <w:proofErr w:type="spellStart"/>
      <w:r w:rsidRPr="008F6A95">
        <w:rPr>
          <w:rFonts w:ascii="Book Antiqua" w:hAnsi="Book Antiqua"/>
          <w:sz w:val="20"/>
          <w:szCs w:val="20"/>
        </w:rPr>
        <w:t>Inadi</w:t>
      </w:r>
      <w:proofErr w:type="spellEnd"/>
      <w:r w:rsidRPr="008F6A95">
        <w:rPr>
          <w:rFonts w:ascii="Book Antiqua" w:hAnsi="Book Antiqua"/>
          <w:sz w:val="20"/>
          <w:szCs w:val="20"/>
        </w:rPr>
        <w:t>, 2005, pág. 102.</w:t>
      </w:r>
    </w:p>
    <w:p w:rsidR="00E60ED2" w:rsidRPr="008F6A95" w:rsidRDefault="00E60ED2" w:rsidP="008F6A95">
      <w:pPr>
        <w:pStyle w:val="Textonotapie"/>
        <w:spacing w:line="276" w:lineRule="auto"/>
        <w:jc w:val="both"/>
        <w:rPr>
          <w:rFonts w:ascii="Book Antiqua" w:hAnsi="Book Antiqua"/>
          <w:lang w:val="es-ES"/>
        </w:rPr>
      </w:pPr>
    </w:p>
  </w:footnote>
  <w:footnote w:id="9">
    <w:p w:rsidR="00E60ED2" w:rsidRPr="008F6A95" w:rsidRDefault="00E60ED2" w:rsidP="008F6A95">
      <w:pPr>
        <w:pStyle w:val="Textonotapie"/>
        <w:spacing w:line="276" w:lineRule="auto"/>
        <w:jc w:val="both"/>
        <w:rPr>
          <w:rFonts w:ascii="Book Antiqua" w:hAnsi="Book Antiqua"/>
          <w:lang w:val="es-ES"/>
        </w:rPr>
      </w:pPr>
      <w:r w:rsidRPr="008F6A95">
        <w:rPr>
          <w:rStyle w:val="Refdenotaalpie"/>
          <w:rFonts w:ascii="Book Antiqua" w:hAnsi="Book Antiqua"/>
        </w:rPr>
        <w:footnoteRef/>
      </w:r>
      <w:r w:rsidRPr="008F6A95">
        <w:rPr>
          <w:rFonts w:ascii="Book Antiqua" w:hAnsi="Book Antiqua"/>
        </w:rPr>
        <w:t xml:space="preserve"> Disponible en el sitio </w:t>
      </w:r>
      <w:hyperlink r:id="rId1" w:history="1">
        <w:r w:rsidRPr="008F6A95">
          <w:rPr>
            <w:rStyle w:val="Hipervnculo"/>
            <w:rFonts w:ascii="Book Antiqua" w:hAnsi="Book Antiqua"/>
          </w:rPr>
          <w:t>http://www.corteconstitucional.gov.co/RELATORIA/2013/C-359-13.htm</w:t>
        </w:r>
      </w:hyperlink>
      <w:r w:rsidRPr="008F6A95">
        <w:rPr>
          <w:rFonts w:ascii="Book Antiqua" w:hAnsi="Book Antiqua"/>
        </w:rPr>
        <w:t>. Última consulta el 27/6/2016.</w:t>
      </w:r>
    </w:p>
  </w:footnote>
  <w:footnote w:id="10">
    <w:p w:rsidR="00441E88" w:rsidRPr="002835EE" w:rsidRDefault="00E60ED2" w:rsidP="008F6A95">
      <w:pPr>
        <w:pStyle w:val="Textonotapie"/>
        <w:spacing w:line="276" w:lineRule="auto"/>
        <w:jc w:val="both"/>
        <w:rPr>
          <w:rFonts w:ascii="Book Antiqua" w:hAnsi="Book Antiqua"/>
        </w:rPr>
      </w:pPr>
      <w:r w:rsidRPr="008F6A95">
        <w:rPr>
          <w:rStyle w:val="Refdenotaalpie"/>
          <w:rFonts w:ascii="Book Antiqua" w:hAnsi="Book Antiqua"/>
        </w:rPr>
        <w:footnoteRef/>
      </w:r>
      <w:r w:rsidRPr="008F6A95">
        <w:rPr>
          <w:rFonts w:ascii="Book Antiqua" w:hAnsi="Book Antiqua"/>
        </w:rPr>
        <w:t xml:space="preserve"> </w:t>
      </w:r>
      <w:proofErr w:type="spellStart"/>
      <w:r w:rsidRPr="00DF3314">
        <w:rPr>
          <w:rFonts w:ascii="Book Antiqua" w:hAnsi="Book Antiqua"/>
        </w:rPr>
        <w:t>Cfme</w:t>
      </w:r>
      <w:proofErr w:type="spellEnd"/>
      <w:r w:rsidRPr="00DF3314">
        <w:rPr>
          <w:rFonts w:ascii="Book Antiqua" w:hAnsi="Book Antiqua"/>
        </w:rPr>
        <w:t>. “Materiales Didácticos nº 1 Conoce al Pueblo Gitano” Movimiento contra la intolerancia.</w:t>
      </w:r>
      <w:r w:rsidR="002E2220" w:rsidRPr="00DF3314">
        <w:rPr>
          <w:rFonts w:ascii="Book Antiqua" w:hAnsi="Book Antiqua"/>
        </w:rPr>
        <w:t xml:space="preserve"> Ed</w:t>
      </w:r>
      <w:r w:rsidR="002E2220" w:rsidRPr="002835EE">
        <w:rPr>
          <w:rFonts w:ascii="Book Antiqua" w:hAnsi="Book Antiqua"/>
        </w:rPr>
        <w:t xml:space="preserve">. </w:t>
      </w:r>
      <w:hyperlink r:id="rId2" w:history="1">
        <w:r w:rsidR="002E2220" w:rsidRPr="00DF3314">
          <w:rPr>
            <w:rStyle w:val="Hipervnculo"/>
            <w:rFonts w:ascii="Book Antiqua" w:hAnsi="Book Antiqua"/>
            <w:color w:val="auto"/>
            <w:u w:val="none"/>
          </w:rPr>
          <w:t>MINISTERIO DE TRABAJO Y ASUNTOS SOCIALES</w:t>
        </w:r>
      </w:hyperlink>
      <w:r w:rsidR="002E2220" w:rsidRPr="00DF3314">
        <w:rPr>
          <w:rFonts w:ascii="Book Antiqua" w:hAnsi="Book Antiqua"/>
        </w:rPr>
        <w:t xml:space="preserve"> de </w:t>
      </w:r>
      <w:r w:rsidR="002E2220" w:rsidRPr="002835EE">
        <w:rPr>
          <w:rFonts w:ascii="Book Antiqua" w:hAnsi="Book Antiqua"/>
        </w:rPr>
        <w:t xml:space="preserve">España, </w:t>
      </w:r>
      <w:r w:rsidR="00441E88" w:rsidRPr="002835EE">
        <w:rPr>
          <w:rFonts w:ascii="Book Antiqua" w:hAnsi="Book Antiqua"/>
        </w:rPr>
        <w:t xml:space="preserve">Madrid, </w:t>
      </w:r>
      <w:r w:rsidR="002E2220" w:rsidRPr="002835EE">
        <w:rPr>
          <w:rFonts w:ascii="Book Antiqua" w:hAnsi="Book Antiqua"/>
        </w:rPr>
        <w:t xml:space="preserve">2006. Ver en </w:t>
      </w:r>
      <w:hyperlink r:id="rId3" w:history="1">
        <w:r w:rsidR="00441E88" w:rsidRPr="002835EE">
          <w:rPr>
            <w:rStyle w:val="Hipervnculo"/>
            <w:rFonts w:ascii="Book Antiqua" w:hAnsi="Book Antiqua"/>
            <w:color w:val="auto"/>
          </w:rPr>
          <w:t>http://www.movimientocontralaintolerancia.com/download/didacticos/numero1.pdf</w:t>
        </w:r>
      </w:hyperlink>
    </w:p>
  </w:footnote>
  <w:footnote w:id="11">
    <w:p w:rsidR="00E60ED2" w:rsidRPr="008F6A95" w:rsidRDefault="00E60ED2" w:rsidP="008F6A95">
      <w:pPr>
        <w:pStyle w:val="Textonotapie"/>
        <w:spacing w:line="276" w:lineRule="auto"/>
        <w:jc w:val="both"/>
        <w:rPr>
          <w:rFonts w:ascii="Book Antiqua" w:hAnsi="Book Antiqua"/>
        </w:rPr>
      </w:pPr>
      <w:r w:rsidRPr="002835EE">
        <w:rPr>
          <w:rStyle w:val="Refdenotaalpie"/>
          <w:rFonts w:ascii="Book Antiqua" w:hAnsi="Book Antiqua"/>
        </w:rPr>
        <w:footnoteRef/>
      </w:r>
      <w:r w:rsidRPr="002835EE">
        <w:rPr>
          <w:rFonts w:ascii="Book Antiqua" w:hAnsi="Book Antiqua"/>
        </w:rPr>
        <w:t xml:space="preserve"> Fuente: </w:t>
      </w:r>
      <w:hyperlink r:id="rId4" w:history="1">
        <w:r w:rsidRPr="002835EE">
          <w:rPr>
            <w:rFonts w:ascii="Book Antiqua" w:hAnsi="Book Antiqua"/>
          </w:rPr>
          <w:t>http://www.buenosaires.gob.ar/derechoshumanos/observatorio</w:t>
        </w:r>
      </w:hyperlink>
      <w:r w:rsidRPr="002835EE">
        <w:rPr>
          <w:rFonts w:ascii="Book Antiqua" w:hAnsi="Book Antiqua"/>
        </w:rPr>
        <w:t xml:space="preserve">, y “Discriminación a la población gitana”, Pablo </w:t>
      </w:r>
      <w:proofErr w:type="spellStart"/>
      <w:r w:rsidRPr="002835EE">
        <w:rPr>
          <w:rFonts w:ascii="Book Antiqua" w:hAnsi="Book Antiqua"/>
        </w:rPr>
        <w:t>Schencman</w:t>
      </w:r>
      <w:proofErr w:type="spellEnd"/>
      <w:r w:rsidRPr="002835EE">
        <w:rPr>
          <w:rFonts w:ascii="Book Antiqua" w:hAnsi="Book Antiqua"/>
        </w:rPr>
        <w:t>, en “Exclusión e inclusión</w:t>
      </w:r>
      <w:r w:rsidRPr="008F6A95">
        <w:rPr>
          <w:rFonts w:ascii="Book Antiqua" w:hAnsi="Book Antiqua"/>
        </w:rPr>
        <w:t xml:space="preserve">. El problema de los colectivos discriminados 2008-2009” de Marisa </w:t>
      </w:r>
      <w:proofErr w:type="spellStart"/>
      <w:r w:rsidRPr="008F6A95">
        <w:rPr>
          <w:rFonts w:ascii="Book Antiqua" w:hAnsi="Book Antiqua"/>
        </w:rPr>
        <w:t>Braylan</w:t>
      </w:r>
      <w:proofErr w:type="spellEnd"/>
      <w:r w:rsidRPr="008F6A95">
        <w:rPr>
          <w:rFonts w:ascii="Book Antiqua" w:hAnsi="Book Antiqua"/>
        </w:rPr>
        <w:t xml:space="preserve"> compiladora (DAIA, Bs. As., 2010).</w:t>
      </w:r>
    </w:p>
  </w:footnote>
  <w:footnote w:id="12">
    <w:p w:rsidR="00E60ED2" w:rsidRPr="008F6A95" w:rsidRDefault="00E60ED2" w:rsidP="008F6A95">
      <w:pPr>
        <w:pStyle w:val="Textonotapie"/>
        <w:spacing w:line="276" w:lineRule="auto"/>
        <w:jc w:val="both"/>
        <w:rPr>
          <w:rFonts w:ascii="Book Antiqua" w:hAnsi="Book Antiqua"/>
        </w:rPr>
      </w:pPr>
      <w:r w:rsidRPr="008F6A95">
        <w:rPr>
          <w:rStyle w:val="Refdenotaalpie"/>
          <w:rFonts w:ascii="Book Antiqua" w:hAnsi="Book Antiqua"/>
        </w:rPr>
        <w:footnoteRef/>
      </w:r>
      <w:r w:rsidRPr="008F6A95">
        <w:rPr>
          <w:rFonts w:ascii="Book Antiqua" w:hAnsi="Book Antiqua"/>
        </w:rPr>
        <w:t xml:space="preserve"> </w:t>
      </w:r>
      <w:proofErr w:type="spellStart"/>
      <w:r w:rsidRPr="008F6A95">
        <w:rPr>
          <w:rFonts w:ascii="Book Antiqua" w:hAnsi="Book Antiqua"/>
        </w:rPr>
        <w:t>Cfme</w:t>
      </w:r>
      <w:proofErr w:type="spellEnd"/>
      <w:r w:rsidRPr="008F6A95">
        <w:rPr>
          <w:rFonts w:ascii="Book Antiqua" w:hAnsi="Book Antiqua"/>
        </w:rPr>
        <w:t xml:space="preserve">. </w:t>
      </w:r>
      <w:proofErr w:type="spellStart"/>
      <w:r w:rsidRPr="008F6A95">
        <w:rPr>
          <w:rFonts w:ascii="Book Antiqua" w:hAnsi="Book Antiqua"/>
        </w:rPr>
        <w:t>Feierstein</w:t>
      </w:r>
      <w:proofErr w:type="spellEnd"/>
      <w:r w:rsidRPr="008F6A95">
        <w:rPr>
          <w:rFonts w:ascii="Book Antiqua" w:hAnsi="Book Antiqua"/>
        </w:rPr>
        <w:t xml:space="preserve">, Daniel (2005), “Modos de construcción de identidad en los Estados-Nación modernos. El caso argentino”, en </w:t>
      </w:r>
      <w:proofErr w:type="spellStart"/>
      <w:r w:rsidRPr="008F6A95">
        <w:rPr>
          <w:rFonts w:ascii="Book Antiqua" w:hAnsi="Book Antiqua"/>
        </w:rPr>
        <w:t>Maronese</w:t>
      </w:r>
      <w:proofErr w:type="spellEnd"/>
      <w:r w:rsidRPr="008F6A95">
        <w:rPr>
          <w:rFonts w:ascii="Book Antiqua" w:hAnsi="Book Antiqua"/>
        </w:rPr>
        <w:t xml:space="preserve">, L. y </w:t>
      </w:r>
      <w:proofErr w:type="spellStart"/>
      <w:r w:rsidRPr="008F6A95">
        <w:rPr>
          <w:rFonts w:ascii="Book Antiqua" w:hAnsi="Book Antiqua"/>
        </w:rPr>
        <w:t>Tchileva</w:t>
      </w:r>
      <w:proofErr w:type="spellEnd"/>
      <w:r w:rsidRPr="008F6A95">
        <w:rPr>
          <w:rFonts w:ascii="Book Antiqua" w:hAnsi="Book Antiqua"/>
        </w:rPr>
        <w:t>, M. (eds.), Patrimonio Cultural Gitano, Buenos Aires, Gobierno de la Ciudad de Buenos Aires.</w:t>
      </w:r>
    </w:p>
  </w:footnote>
  <w:footnote w:id="13">
    <w:p w:rsidR="00E60ED2" w:rsidRPr="008F6A95" w:rsidRDefault="00E60ED2" w:rsidP="008F6A95">
      <w:pPr>
        <w:autoSpaceDE w:val="0"/>
        <w:adjustRightInd w:val="0"/>
        <w:spacing w:line="276" w:lineRule="auto"/>
        <w:rPr>
          <w:rFonts w:ascii="Book Antiqua" w:hAnsi="Book Antiqua"/>
          <w:sz w:val="20"/>
          <w:szCs w:val="20"/>
        </w:rPr>
      </w:pPr>
      <w:r w:rsidRPr="008F6A95">
        <w:rPr>
          <w:rStyle w:val="Refdenotaalpie"/>
          <w:rFonts w:ascii="Book Antiqua" w:hAnsi="Book Antiqua"/>
          <w:sz w:val="20"/>
          <w:szCs w:val="20"/>
        </w:rPr>
        <w:footnoteRef/>
      </w:r>
      <w:r w:rsidRPr="008F6A95">
        <w:rPr>
          <w:rFonts w:ascii="Book Antiqua" w:hAnsi="Book Antiqua"/>
          <w:sz w:val="20"/>
          <w:szCs w:val="20"/>
        </w:rPr>
        <w:t xml:space="preserve"> “</w:t>
      </w:r>
      <w:r w:rsidRPr="008F6A95">
        <w:rPr>
          <w:rFonts w:ascii="Book Antiqua" w:hAnsi="Book Antiqua" w:cs="MinionPro-Regular"/>
          <w:sz w:val="20"/>
          <w:szCs w:val="20"/>
        </w:rPr>
        <w:t xml:space="preserve">El pueblo </w:t>
      </w:r>
      <w:proofErr w:type="spellStart"/>
      <w:r w:rsidRPr="008F6A95">
        <w:rPr>
          <w:rFonts w:ascii="Book Antiqua" w:hAnsi="Book Antiqua" w:cs="MinionPro-Regular"/>
          <w:sz w:val="20"/>
          <w:szCs w:val="20"/>
        </w:rPr>
        <w:t>rom</w:t>
      </w:r>
      <w:proofErr w:type="spellEnd"/>
      <w:r w:rsidRPr="008F6A95">
        <w:rPr>
          <w:rFonts w:ascii="Book Antiqua" w:hAnsi="Book Antiqua" w:cs="MinionPro-Regular"/>
          <w:sz w:val="20"/>
          <w:szCs w:val="20"/>
        </w:rPr>
        <w:t xml:space="preserve"> y la discriminación en la Argentina”, de Julia Contreras, </w:t>
      </w:r>
      <w:proofErr w:type="spellStart"/>
      <w:r w:rsidRPr="008F6A95">
        <w:rPr>
          <w:rFonts w:ascii="Book Antiqua" w:hAnsi="Book Antiqua" w:cs="MinionPro-Regular"/>
          <w:sz w:val="20"/>
          <w:szCs w:val="20"/>
        </w:rPr>
        <w:t>pag</w:t>
      </w:r>
      <w:proofErr w:type="spellEnd"/>
      <w:r w:rsidRPr="008F6A95">
        <w:rPr>
          <w:rFonts w:ascii="Book Antiqua" w:hAnsi="Book Antiqua" w:cs="MinionPro-Regular"/>
          <w:sz w:val="20"/>
          <w:szCs w:val="20"/>
        </w:rPr>
        <w:t xml:space="preserve">. 25 y </w:t>
      </w:r>
      <w:proofErr w:type="spellStart"/>
      <w:r w:rsidRPr="008F6A95">
        <w:rPr>
          <w:rFonts w:ascii="Book Antiqua" w:hAnsi="Book Antiqua" w:cs="MinionPro-Regular"/>
          <w:sz w:val="20"/>
          <w:szCs w:val="20"/>
        </w:rPr>
        <w:t>ss.en</w:t>
      </w:r>
      <w:proofErr w:type="spellEnd"/>
      <w:r w:rsidRPr="008F6A95">
        <w:rPr>
          <w:rFonts w:ascii="Book Antiqua" w:hAnsi="Book Antiqua" w:cs="MinionPro-Regular"/>
          <w:sz w:val="20"/>
          <w:szCs w:val="20"/>
        </w:rPr>
        <w:t xml:space="preserve"> “Exclusión e inclusión III. Discursos. Estereotipos. Desigualdad de oportunidades. Prejuicio y violencia.”, DAIA, Buenos Aires, 2015.</w:t>
      </w:r>
    </w:p>
  </w:footnote>
  <w:footnote w:id="14">
    <w:p w:rsidR="00E60ED2" w:rsidRPr="008F6A95" w:rsidRDefault="00E60ED2" w:rsidP="008F6A95">
      <w:pPr>
        <w:pStyle w:val="Textonotapie"/>
        <w:spacing w:line="276" w:lineRule="auto"/>
        <w:jc w:val="both"/>
        <w:rPr>
          <w:rFonts w:ascii="Book Antiqua" w:hAnsi="Book Antiqua"/>
          <w:lang w:val="es-ES"/>
        </w:rPr>
      </w:pPr>
      <w:r w:rsidRPr="008F6A95">
        <w:rPr>
          <w:rStyle w:val="Refdenotaalpie"/>
          <w:rFonts w:ascii="Book Antiqua" w:hAnsi="Book Antiqua"/>
        </w:rPr>
        <w:footnoteRef/>
      </w:r>
      <w:r w:rsidRPr="008F6A95">
        <w:rPr>
          <w:rFonts w:ascii="Book Antiqua" w:hAnsi="Book Antiqua"/>
        </w:rPr>
        <w:t xml:space="preserve"> </w:t>
      </w:r>
      <w:proofErr w:type="spellStart"/>
      <w:r w:rsidRPr="008F6A95">
        <w:rPr>
          <w:rFonts w:ascii="Book Antiqua" w:hAnsi="Book Antiqua"/>
          <w:lang w:val="es-ES"/>
        </w:rPr>
        <w:t>Idem</w:t>
      </w:r>
      <w:proofErr w:type="spellEnd"/>
      <w:r w:rsidRPr="008F6A95">
        <w:rPr>
          <w:rFonts w:ascii="Book Antiqua" w:hAnsi="Book Antiqua"/>
          <w:lang w:val="es-ES"/>
        </w:rPr>
        <w:t>. Julia Contreras.</w:t>
      </w:r>
    </w:p>
  </w:footnote>
  <w:footnote w:id="15">
    <w:p w:rsidR="00E60ED2" w:rsidRPr="008F6A95" w:rsidRDefault="00E60ED2" w:rsidP="008F6A95">
      <w:pPr>
        <w:pStyle w:val="Textonotapie"/>
        <w:spacing w:line="276" w:lineRule="auto"/>
        <w:jc w:val="both"/>
        <w:rPr>
          <w:rFonts w:ascii="Book Antiqua" w:hAnsi="Book Antiqua"/>
        </w:rPr>
      </w:pPr>
      <w:r w:rsidRPr="008F6A95">
        <w:rPr>
          <w:rStyle w:val="Refdenotaalpie"/>
          <w:rFonts w:ascii="Book Antiqua" w:hAnsi="Book Antiqua"/>
        </w:rPr>
        <w:footnoteRef/>
      </w:r>
      <w:r w:rsidRPr="008F6A95">
        <w:rPr>
          <w:rFonts w:ascii="Book Antiqua" w:hAnsi="Book Antiqua"/>
        </w:rPr>
        <w:t xml:space="preserve"> </w:t>
      </w:r>
      <w:proofErr w:type="spellStart"/>
      <w:r w:rsidRPr="008F6A95">
        <w:rPr>
          <w:rFonts w:ascii="Book Antiqua" w:hAnsi="Book Antiqua"/>
        </w:rPr>
        <w:t>Idem</w:t>
      </w:r>
      <w:proofErr w:type="spellEnd"/>
      <w:r w:rsidRPr="008F6A95">
        <w:rPr>
          <w:rFonts w:ascii="Book Antiqua" w:hAnsi="Book Antiqua"/>
        </w:rPr>
        <w:t>. Julia Contreras.</w:t>
      </w:r>
    </w:p>
  </w:footnote>
  <w:footnote w:id="16">
    <w:p w:rsidR="00E60ED2" w:rsidRPr="008F6A95" w:rsidRDefault="00E60ED2" w:rsidP="008F6A95">
      <w:pPr>
        <w:pStyle w:val="Textonotapie"/>
        <w:spacing w:line="276" w:lineRule="auto"/>
        <w:jc w:val="both"/>
        <w:rPr>
          <w:rFonts w:ascii="Book Antiqua" w:hAnsi="Book Antiqua"/>
          <w:lang w:val="es-ES"/>
        </w:rPr>
      </w:pPr>
      <w:r w:rsidRPr="008F6A95">
        <w:rPr>
          <w:rStyle w:val="Refdenotaalpie"/>
          <w:rFonts w:ascii="Book Antiqua" w:hAnsi="Book Antiqua"/>
        </w:rPr>
        <w:footnoteRef/>
      </w:r>
      <w:r w:rsidRPr="008F6A95">
        <w:rPr>
          <w:rFonts w:ascii="Book Antiqua" w:hAnsi="Book Antiqua"/>
        </w:rPr>
        <w:t xml:space="preserve"> </w:t>
      </w:r>
      <w:r w:rsidRPr="008F6A95">
        <w:rPr>
          <w:rFonts w:ascii="Book Antiqua" w:hAnsi="Book Antiqua"/>
          <w:lang w:val="es-ES"/>
        </w:rPr>
        <w:t xml:space="preserve"> Hacia un plan nacional contra la discriminación: la discriminación en Argentina - 1a ed. - Buenos Aires: </w:t>
      </w:r>
      <w:proofErr w:type="spellStart"/>
      <w:r w:rsidRPr="008F6A95">
        <w:rPr>
          <w:rFonts w:ascii="Book Antiqua" w:hAnsi="Book Antiqua"/>
          <w:lang w:val="es-ES"/>
        </w:rPr>
        <w:t>Inadi</w:t>
      </w:r>
      <w:proofErr w:type="spellEnd"/>
      <w:r w:rsidRPr="008F6A95">
        <w:rPr>
          <w:rFonts w:ascii="Book Antiqua" w:hAnsi="Book Antiqua"/>
          <w:lang w:val="es-ES"/>
        </w:rPr>
        <w:t>, 2005, p</w:t>
      </w:r>
      <w:r w:rsidR="00DF3314">
        <w:rPr>
          <w:rFonts w:ascii="Book Antiqua" w:hAnsi="Book Antiqua"/>
          <w:lang w:val="es-ES"/>
        </w:rPr>
        <w:t>á</w:t>
      </w:r>
      <w:r w:rsidRPr="008F6A95">
        <w:rPr>
          <w:rFonts w:ascii="Book Antiqua" w:hAnsi="Book Antiqua"/>
          <w:lang w:val="es-ES"/>
        </w:rPr>
        <w:t>g. 138.</w:t>
      </w:r>
    </w:p>
  </w:footnote>
  <w:footnote w:id="17">
    <w:p w:rsidR="00E60ED2" w:rsidRPr="008F6A95" w:rsidRDefault="00E60ED2" w:rsidP="008F6A95">
      <w:pPr>
        <w:pStyle w:val="Textonotapie"/>
        <w:spacing w:line="276" w:lineRule="auto"/>
        <w:jc w:val="both"/>
        <w:rPr>
          <w:rFonts w:ascii="Book Antiqua" w:hAnsi="Book Antiqua"/>
        </w:rPr>
      </w:pPr>
      <w:r w:rsidRPr="008F6A95">
        <w:rPr>
          <w:rStyle w:val="Refdenotaalpie"/>
          <w:rFonts w:ascii="Book Antiqua" w:hAnsi="Book Antiqua"/>
        </w:rPr>
        <w:footnoteRef/>
      </w:r>
      <w:r w:rsidRPr="008F6A95">
        <w:rPr>
          <w:rFonts w:ascii="Book Antiqua" w:hAnsi="Book Antiqua"/>
        </w:rPr>
        <w:t xml:space="preserve"> </w:t>
      </w:r>
      <w:proofErr w:type="spellStart"/>
      <w:r w:rsidRPr="008F6A95">
        <w:rPr>
          <w:rFonts w:ascii="Book Antiqua" w:hAnsi="Book Antiqua"/>
        </w:rPr>
        <w:t>Idem</w:t>
      </w:r>
      <w:proofErr w:type="spellEnd"/>
      <w:r w:rsidRPr="008F6A95">
        <w:rPr>
          <w:rFonts w:ascii="Book Antiqua" w:hAnsi="Book Antiqua"/>
        </w:rPr>
        <w:t>. INADI.</w:t>
      </w:r>
    </w:p>
  </w:footnote>
  <w:footnote w:id="18">
    <w:p w:rsidR="00E60ED2" w:rsidRPr="008F6A95" w:rsidRDefault="00E60ED2" w:rsidP="008F6A95">
      <w:pPr>
        <w:pStyle w:val="Textonotapie"/>
        <w:spacing w:line="276" w:lineRule="auto"/>
        <w:jc w:val="both"/>
        <w:rPr>
          <w:rFonts w:ascii="Book Antiqua" w:hAnsi="Book Antiqua"/>
          <w:lang w:val="es-ES"/>
        </w:rPr>
      </w:pPr>
      <w:r w:rsidRPr="008F6A95">
        <w:rPr>
          <w:rStyle w:val="Refdenotaalpie"/>
          <w:rFonts w:ascii="Book Antiqua" w:hAnsi="Book Antiqua"/>
        </w:rPr>
        <w:footnoteRef/>
      </w:r>
      <w:r w:rsidRPr="008F6A95">
        <w:rPr>
          <w:rFonts w:ascii="Book Antiqua" w:hAnsi="Book Antiqua"/>
        </w:rPr>
        <w:t xml:space="preserve"> </w:t>
      </w:r>
      <w:proofErr w:type="spellStart"/>
      <w:r w:rsidRPr="008F6A95">
        <w:rPr>
          <w:rFonts w:ascii="Book Antiqua" w:hAnsi="Book Antiqua"/>
        </w:rPr>
        <w:t>Abduca</w:t>
      </w:r>
      <w:proofErr w:type="spellEnd"/>
      <w:r w:rsidRPr="008F6A95">
        <w:rPr>
          <w:rFonts w:ascii="Book Antiqua" w:hAnsi="Book Antiqua"/>
        </w:rPr>
        <w:t xml:space="preserve"> Ricardo Gabriel y </w:t>
      </w:r>
      <w:proofErr w:type="spellStart"/>
      <w:r w:rsidRPr="008F6A95">
        <w:rPr>
          <w:rFonts w:ascii="Book Antiqua" w:hAnsi="Book Antiqua"/>
        </w:rPr>
        <w:t>Calcagno</w:t>
      </w:r>
      <w:proofErr w:type="spellEnd"/>
      <w:r w:rsidRPr="008F6A95">
        <w:rPr>
          <w:rFonts w:ascii="Book Antiqua" w:hAnsi="Book Antiqua"/>
        </w:rPr>
        <w:t xml:space="preserve">, Marisa Elsa (2013). Gitanos de Buenos Aires. Prácticas culturales </w:t>
      </w:r>
      <w:proofErr w:type="spellStart"/>
      <w:r w:rsidRPr="008F6A95">
        <w:rPr>
          <w:rFonts w:ascii="Book Antiqua" w:hAnsi="Book Antiqua"/>
        </w:rPr>
        <w:t>rom</w:t>
      </w:r>
      <w:proofErr w:type="spellEnd"/>
      <w:r w:rsidRPr="008F6A95">
        <w:rPr>
          <w:rFonts w:ascii="Book Antiqua" w:hAnsi="Book Antiqua"/>
        </w:rPr>
        <w:t xml:space="preserve"> de pureza y escolarización. Hipótesis de trabajo. VII Jornadas Santiago Wallace de Investigación en Antropología Social. Sección de Antropología Social. Instituto de Ciencias Antropológicas. Facultad de Filosofía y Letras, UBA, Buenos Aires.</w:t>
      </w:r>
    </w:p>
  </w:footnote>
  <w:footnote w:id="19">
    <w:p w:rsidR="00E60ED2" w:rsidRPr="008F6A95" w:rsidRDefault="00E60ED2" w:rsidP="008F6A95">
      <w:pPr>
        <w:pStyle w:val="Textonotapie"/>
        <w:spacing w:line="276" w:lineRule="auto"/>
        <w:jc w:val="both"/>
        <w:rPr>
          <w:rFonts w:ascii="Book Antiqua" w:hAnsi="Book Antiqua"/>
        </w:rPr>
      </w:pPr>
      <w:r w:rsidRPr="008F6A95">
        <w:rPr>
          <w:rFonts w:ascii="Book Antiqua" w:hAnsi="Book Antiqua"/>
        </w:rPr>
        <w:footnoteRef/>
      </w:r>
      <w:r w:rsidRPr="008F6A95">
        <w:rPr>
          <w:rFonts w:ascii="Book Antiqua" w:hAnsi="Book Antiqua"/>
        </w:rPr>
        <w:t xml:space="preserve"> Testimonio de discriminación, en </w:t>
      </w:r>
      <w:hyperlink r:id="rId5" w:history="1">
        <w:r w:rsidRPr="008F6A95">
          <w:rPr>
            <w:rStyle w:val="Hipervnculo"/>
            <w:rFonts w:ascii="Book Antiqua" w:hAnsi="Book Antiqua"/>
          </w:rPr>
          <w:t>http://repositorio.filo.uba.ar/xmlui/bitstream/handle/filodigital/904/uba_ffyl_t_2009_857868.pdf?sequence=1&amp;isAllowed= y</w:t>
        </w:r>
      </w:hyperlink>
      <w:r w:rsidRPr="008F6A95">
        <w:rPr>
          <w:rFonts w:ascii="Book Antiqua" w:hAnsi="Book Antiqua"/>
        </w:rPr>
        <w:t xml:space="preserve"> “Negociando la otredad Los usos permitidos de la diversidad y la </w:t>
      </w:r>
      <w:proofErr w:type="spellStart"/>
      <w:r w:rsidRPr="008F6A95">
        <w:rPr>
          <w:rFonts w:ascii="Book Antiqua" w:hAnsi="Book Antiqua"/>
        </w:rPr>
        <w:t>estigmación</w:t>
      </w:r>
      <w:proofErr w:type="spellEnd"/>
      <w:r w:rsidRPr="008F6A95">
        <w:rPr>
          <w:rFonts w:ascii="Book Antiqua" w:hAnsi="Book Antiqua"/>
        </w:rPr>
        <w:t xml:space="preserve"> de la diferencia en el espacio público urbano: </w:t>
      </w:r>
      <w:proofErr w:type="spellStart"/>
      <w:r w:rsidRPr="008F6A95">
        <w:rPr>
          <w:rFonts w:ascii="Book Antiqua" w:hAnsi="Book Antiqua"/>
        </w:rPr>
        <w:t>etnografiando</w:t>
      </w:r>
      <w:proofErr w:type="spellEnd"/>
      <w:r w:rsidRPr="008F6A95">
        <w:rPr>
          <w:rFonts w:ascii="Book Antiqua" w:hAnsi="Book Antiqua"/>
        </w:rPr>
        <w:t xml:space="preserve"> los procesos de reelaboración </w:t>
      </w:r>
      <w:proofErr w:type="spellStart"/>
      <w:r w:rsidRPr="008F6A95">
        <w:rPr>
          <w:rFonts w:ascii="Book Antiqua" w:hAnsi="Book Antiqua"/>
        </w:rPr>
        <w:t>identitaria</w:t>
      </w:r>
      <w:proofErr w:type="spellEnd"/>
      <w:r w:rsidRPr="008F6A95">
        <w:rPr>
          <w:rFonts w:ascii="Book Antiqua" w:hAnsi="Book Antiqua"/>
        </w:rPr>
        <w:t xml:space="preserve"> a través del caso de los gitanos caló en la ciudad de Buenos Aires” Pacheco, Julieta Fernanda </w:t>
      </w:r>
      <w:proofErr w:type="spellStart"/>
      <w:r w:rsidRPr="008F6A95">
        <w:rPr>
          <w:rFonts w:ascii="Book Antiqua" w:hAnsi="Book Antiqua"/>
        </w:rPr>
        <w:t>Lacarrieu</w:t>
      </w:r>
      <w:proofErr w:type="spellEnd"/>
      <w:r w:rsidRPr="008F6A95">
        <w:rPr>
          <w:rFonts w:ascii="Book Antiqua" w:hAnsi="Book Antiqua"/>
        </w:rPr>
        <w:t xml:space="preserve">, Mónica Beatriz, 2009, </w:t>
      </w:r>
      <w:proofErr w:type="spellStart"/>
      <w:r w:rsidRPr="008F6A95">
        <w:rPr>
          <w:rFonts w:ascii="Book Antiqua" w:hAnsi="Book Antiqua"/>
        </w:rPr>
        <w:t>pag</w:t>
      </w:r>
      <w:proofErr w:type="spellEnd"/>
      <w:r w:rsidRPr="008F6A95">
        <w:rPr>
          <w:rFonts w:ascii="Book Antiqua" w:hAnsi="Book Antiqua"/>
        </w:rPr>
        <w:t>. 73 y ss.</w:t>
      </w:r>
    </w:p>
    <w:p w:rsidR="00E60ED2" w:rsidRPr="008F6A95" w:rsidRDefault="00E60ED2" w:rsidP="008F6A95">
      <w:pPr>
        <w:pStyle w:val="Textonotapie"/>
        <w:spacing w:line="276" w:lineRule="auto"/>
        <w:jc w:val="both"/>
        <w:rPr>
          <w:rFonts w:ascii="Book Antiqua" w:hAnsi="Book Antiqua"/>
          <w:lang w:val="es-ES"/>
        </w:rPr>
      </w:pPr>
    </w:p>
  </w:footnote>
  <w:footnote w:id="20">
    <w:p w:rsidR="00E60ED2" w:rsidRPr="008F6A95" w:rsidRDefault="00E60ED2" w:rsidP="008F6A95">
      <w:pPr>
        <w:spacing w:line="276" w:lineRule="auto"/>
        <w:rPr>
          <w:rFonts w:ascii="Book Antiqua" w:hAnsi="Book Antiqua"/>
          <w:sz w:val="20"/>
          <w:szCs w:val="20"/>
        </w:rPr>
      </w:pPr>
      <w:r w:rsidRPr="008F6A95">
        <w:rPr>
          <w:rStyle w:val="Refdenotaalpie"/>
          <w:rFonts w:ascii="Book Antiqua" w:hAnsi="Book Antiqua"/>
          <w:sz w:val="20"/>
          <w:szCs w:val="20"/>
        </w:rPr>
        <w:footnoteRef/>
      </w:r>
      <w:r w:rsidRPr="008F6A95">
        <w:rPr>
          <w:rFonts w:ascii="Book Antiqua" w:hAnsi="Book Antiqua"/>
          <w:sz w:val="20"/>
          <w:szCs w:val="20"/>
        </w:rPr>
        <w:t xml:space="preserve"> “Pueblo </w:t>
      </w:r>
      <w:proofErr w:type="spellStart"/>
      <w:r w:rsidRPr="008F6A95">
        <w:rPr>
          <w:rFonts w:ascii="Book Antiqua" w:hAnsi="Book Antiqua"/>
          <w:sz w:val="20"/>
          <w:szCs w:val="20"/>
        </w:rPr>
        <w:t>Rom</w:t>
      </w:r>
      <w:proofErr w:type="spellEnd"/>
      <w:r w:rsidRPr="008F6A95">
        <w:rPr>
          <w:rFonts w:ascii="Book Antiqua" w:hAnsi="Book Antiqua"/>
          <w:sz w:val="20"/>
          <w:szCs w:val="20"/>
        </w:rPr>
        <w:t xml:space="preserve">: Nomadismo y oralidad”, de Jorge Emilio </w:t>
      </w:r>
      <w:proofErr w:type="spellStart"/>
      <w:r w:rsidRPr="008F6A95">
        <w:rPr>
          <w:rFonts w:ascii="Book Antiqua" w:hAnsi="Book Antiqua"/>
          <w:sz w:val="20"/>
          <w:szCs w:val="20"/>
        </w:rPr>
        <w:t>Nedich</w:t>
      </w:r>
      <w:proofErr w:type="spellEnd"/>
      <w:r w:rsidRPr="008F6A95">
        <w:rPr>
          <w:rFonts w:ascii="Book Antiqua" w:hAnsi="Book Antiqua"/>
          <w:sz w:val="20"/>
          <w:szCs w:val="20"/>
        </w:rPr>
        <w:t xml:space="preserve">, en el sitio </w:t>
      </w:r>
      <w:hyperlink r:id="rId6" w:history="1">
        <w:r w:rsidRPr="008F6A95">
          <w:rPr>
            <w:rStyle w:val="Hipervnculo"/>
            <w:rFonts w:ascii="Book Antiqua" w:hAnsi="Book Antiqua"/>
            <w:sz w:val="20"/>
            <w:szCs w:val="20"/>
          </w:rPr>
          <w:t>http://argentina.indymedia.org/news/2007/05/516542.php</w:t>
        </w:r>
      </w:hyperlink>
      <w:r w:rsidRPr="008F6A95">
        <w:rPr>
          <w:rFonts w:ascii="Book Antiqua" w:hAnsi="Book Antiqua"/>
          <w:sz w:val="20"/>
          <w:szCs w:val="20"/>
        </w:rPr>
        <w:t>, consultado el 27/06/2016.</w:t>
      </w:r>
    </w:p>
  </w:footnote>
  <w:footnote w:id="21">
    <w:p w:rsidR="00E60ED2" w:rsidRPr="008F6A95" w:rsidRDefault="00E60ED2" w:rsidP="008F6A95">
      <w:pPr>
        <w:spacing w:line="276" w:lineRule="auto"/>
        <w:rPr>
          <w:rFonts w:ascii="Book Antiqua" w:hAnsi="Book Antiqua"/>
          <w:sz w:val="20"/>
          <w:szCs w:val="20"/>
        </w:rPr>
      </w:pPr>
      <w:r w:rsidRPr="008F6A95">
        <w:rPr>
          <w:rStyle w:val="Refdenotaalpie"/>
          <w:rFonts w:ascii="Book Antiqua" w:hAnsi="Book Antiqua"/>
          <w:sz w:val="20"/>
          <w:szCs w:val="20"/>
        </w:rPr>
        <w:footnoteRef/>
      </w:r>
      <w:r w:rsidRPr="008F6A95">
        <w:rPr>
          <w:rFonts w:ascii="Book Antiqua" w:hAnsi="Book Antiqua"/>
          <w:sz w:val="20"/>
          <w:szCs w:val="20"/>
        </w:rPr>
        <w:t xml:space="preserve"> Así lo sostiene d</w:t>
      </w:r>
      <w:r w:rsidRPr="008F6A95">
        <w:rPr>
          <w:rFonts w:ascii="Book Antiqua" w:hAnsi="Book Antiqua"/>
          <w:sz w:val="20"/>
          <w:szCs w:val="20"/>
          <w:lang w:eastAsia="es-AR"/>
        </w:rPr>
        <w:t xml:space="preserve">esde la antropología, Elena </w:t>
      </w:r>
      <w:proofErr w:type="spellStart"/>
      <w:r w:rsidRPr="008F6A95">
        <w:rPr>
          <w:rFonts w:ascii="Book Antiqua" w:hAnsi="Book Antiqua"/>
          <w:sz w:val="20"/>
          <w:szCs w:val="20"/>
          <w:lang w:eastAsia="es-AR"/>
        </w:rPr>
        <w:t>Andreea</w:t>
      </w:r>
      <w:proofErr w:type="spellEnd"/>
      <w:r w:rsidRPr="008F6A95">
        <w:rPr>
          <w:rFonts w:ascii="Book Antiqua" w:hAnsi="Book Antiqua"/>
          <w:sz w:val="20"/>
          <w:szCs w:val="20"/>
          <w:lang w:eastAsia="es-AR"/>
        </w:rPr>
        <w:t xml:space="preserve"> </w:t>
      </w:r>
      <w:proofErr w:type="spellStart"/>
      <w:r w:rsidRPr="008F6A95">
        <w:rPr>
          <w:rFonts w:ascii="Book Antiqua" w:hAnsi="Book Antiqua"/>
          <w:sz w:val="20"/>
          <w:szCs w:val="20"/>
          <w:lang w:eastAsia="es-AR"/>
        </w:rPr>
        <w:t>Parvu</w:t>
      </w:r>
      <w:proofErr w:type="spellEnd"/>
      <w:r w:rsidRPr="008F6A95">
        <w:rPr>
          <w:rFonts w:ascii="Book Antiqua" w:hAnsi="Book Antiqua"/>
          <w:sz w:val="20"/>
          <w:szCs w:val="20"/>
          <w:lang w:eastAsia="es-AR"/>
        </w:rPr>
        <w:t>, del Equipo Interdisciplinario de la Secretaría General de Política Institucional, Defensoría General de la Nación.</w:t>
      </w:r>
    </w:p>
  </w:footnote>
  <w:footnote w:id="22">
    <w:p w:rsidR="00E60ED2" w:rsidRPr="008F6A95" w:rsidRDefault="00E60ED2" w:rsidP="008F6A95">
      <w:pPr>
        <w:pStyle w:val="Textonotapie"/>
        <w:spacing w:line="276" w:lineRule="auto"/>
        <w:jc w:val="both"/>
        <w:rPr>
          <w:rFonts w:ascii="Book Antiqua" w:hAnsi="Book Antiqua"/>
          <w:lang w:val="es-ES"/>
        </w:rPr>
      </w:pPr>
      <w:r w:rsidRPr="008F6A95">
        <w:rPr>
          <w:rStyle w:val="Refdenotaalpie"/>
          <w:rFonts w:ascii="Book Antiqua" w:hAnsi="Book Antiqua"/>
        </w:rPr>
        <w:footnoteRef/>
      </w:r>
      <w:r w:rsidRPr="008F6A95">
        <w:rPr>
          <w:rFonts w:ascii="Book Antiqua" w:hAnsi="Book Antiqua"/>
        </w:rPr>
        <w:t xml:space="preserve"> Cfr. </w:t>
      </w:r>
      <w:proofErr w:type="spellStart"/>
      <w:r w:rsidRPr="008F6A95">
        <w:rPr>
          <w:rFonts w:ascii="Book Antiqua" w:hAnsi="Book Antiqua"/>
        </w:rPr>
        <w:t>Zaffaroni</w:t>
      </w:r>
      <w:proofErr w:type="spellEnd"/>
      <w:r w:rsidRPr="008F6A95">
        <w:rPr>
          <w:rFonts w:ascii="Book Antiqua" w:hAnsi="Book Antiqua"/>
        </w:rPr>
        <w:t xml:space="preserve">, </w:t>
      </w:r>
      <w:proofErr w:type="spellStart"/>
      <w:r w:rsidRPr="008F6A95">
        <w:rPr>
          <w:rFonts w:ascii="Book Antiqua" w:hAnsi="Book Antiqua"/>
        </w:rPr>
        <w:t>Alagia</w:t>
      </w:r>
      <w:proofErr w:type="spellEnd"/>
      <w:r w:rsidRPr="008F6A95">
        <w:rPr>
          <w:rFonts w:ascii="Book Antiqua" w:hAnsi="Book Antiqua"/>
        </w:rPr>
        <w:t xml:space="preserve"> y </w:t>
      </w:r>
      <w:proofErr w:type="spellStart"/>
      <w:r w:rsidRPr="008F6A95">
        <w:rPr>
          <w:rFonts w:ascii="Book Antiqua" w:hAnsi="Book Antiqua"/>
        </w:rPr>
        <w:t>Slokar</w:t>
      </w:r>
      <w:proofErr w:type="spellEnd"/>
      <w:r w:rsidRPr="008F6A95">
        <w:rPr>
          <w:rFonts w:ascii="Book Antiqua" w:hAnsi="Book Antiqua"/>
        </w:rPr>
        <w:t xml:space="preserve"> en “Derecho penal”, </w:t>
      </w:r>
      <w:proofErr w:type="spellStart"/>
      <w:r w:rsidRPr="008F6A95">
        <w:rPr>
          <w:rFonts w:ascii="Book Antiqua" w:hAnsi="Book Antiqua"/>
        </w:rPr>
        <w:t>op</w:t>
      </w:r>
      <w:proofErr w:type="spellEnd"/>
      <w:r w:rsidRPr="008F6A95">
        <w:rPr>
          <w:rFonts w:ascii="Book Antiqua" w:hAnsi="Book Antiqua"/>
        </w:rPr>
        <w:t>. cit., p. 704.</w:t>
      </w:r>
    </w:p>
  </w:footnote>
  <w:footnote w:id="23">
    <w:p w:rsidR="00E60ED2" w:rsidRPr="008F6A95" w:rsidRDefault="00E60ED2" w:rsidP="008F6A95">
      <w:pPr>
        <w:pStyle w:val="Textonotapie"/>
        <w:spacing w:line="276" w:lineRule="auto"/>
        <w:jc w:val="both"/>
        <w:rPr>
          <w:rFonts w:ascii="Book Antiqua" w:hAnsi="Book Antiqua"/>
          <w:lang w:val="es-ES"/>
        </w:rPr>
      </w:pPr>
      <w:r w:rsidRPr="008F6A95">
        <w:rPr>
          <w:rStyle w:val="Refdenotaalpie"/>
          <w:rFonts w:ascii="Book Antiqua" w:hAnsi="Book Antiqua"/>
        </w:rPr>
        <w:footnoteRef/>
      </w:r>
      <w:r w:rsidRPr="008F6A95">
        <w:rPr>
          <w:rFonts w:ascii="Book Antiqua" w:hAnsi="Book Antiqua"/>
        </w:rPr>
        <w:t xml:space="preserve"> “Diversidad Cultural y teoría del error”, de </w:t>
      </w:r>
      <w:proofErr w:type="spellStart"/>
      <w:r w:rsidRPr="008F6A95">
        <w:rPr>
          <w:rFonts w:ascii="Book Antiqua" w:hAnsi="Book Antiqua"/>
        </w:rPr>
        <w:t>Cesano</w:t>
      </w:r>
      <w:proofErr w:type="spellEnd"/>
      <w:r w:rsidRPr="008F6A95">
        <w:rPr>
          <w:rFonts w:ascii="Book Antiqua" w:hAnsi="Book Antiqua"/>
        </w:rPr>
        <w:t xml:space="preserve">, José Daniel, en el sitio </w:t>
      </w:r>
      <w:hyperlink r:id="rId7" w:history="1">
        <w:r w:rsidRPr="008F6A95">
          <w:rPr>
            <w:rFonts w:ascii="Book Antiqua" w:hAnsi="Book Antiqua"/>
          </w:rPr>
          <w:t>http://horizontesyc.com.ar/archivos/1251126095/DIVERSIDAD_CULTURAL_Y_TEOR%CDA_DEL_ERROR.pdf</w:t>
        </w:r>
      </w:hyperlink>
      <w:r w:rsidRPr="008F6A95">
        <w:rPr>
          <w:rFonts w:ascii="Book Antiqua" w:hAnsi="Book Antiqua"/>
        </w:rPr>
        <w:t>, consultado el 27/06/2016.</w:t>
      </w:r>
    </w:p>
  </w:footnote>
  <w:footnote w:id="24">
    <w:p w:rsidR="00E60ED2" w:rsidRPr="008F6A95" w:rsidRDefault="00E60ED2" w:rsidP="008F6A95">
      <w:pPr>
        <w:pStyle w:val="Textonotapie"/>
        <w:spacing w:line="276" w:lineRule="auto"/>
        <w:jc w:val="both"/>
        <w:rPr>
          <w:rFonts w:ascii="Book Antiqua" w:hAnsi="Book Antiqua"/>
        </w:rPr>
      </w:pPr>
      <w:r w:rsidRPr="008F6A95">
        <w:rPr>
          <w:rStyle w:val="Refdenotaalpie"/>
          <w:rFonts w:ascii="Book Antiqua" w:hAnsi="Book Antiqua"/>
        </w:rPr>
        <w:footnoteRef/>
      </w:r>
      <w:r w:rsidRPr="008F6A95">
        <w:rPr>
          <w:rFonts w:ascii="Book Antiqua" w:hAnsi="Book Antiqua"/>
        </w:rPr>
        <w:t xml:space="preserve">  </w:t>
      </w:r>
      <w:proofErr w:type="spellStart"/>
      <w:r w:rsidRPr="008F6A95">
        <w:rPr>
          <w:rFonts w:ascii="Book Antiqua" w:hAnsi="Book Antiqua"/>
        </w:rPr>
        <w:t>Cfme</w:t>
      </w:r>
      <w:proofErr w:type="spellEnd"/>
      <w:r w:rsidRPr="008F6A95">
        <w:rPr>
          <w:rFonts w:ascii="Book Antiqua" w:hAnsi="Book Antiqua"/>
        </w:rPr>
        <w:t xml:space="preserve">. Alfredo </w:t>
      </w:r>
      <w:proofErr w:type="spellStart"/>
      <w:r w:rsidRPr="008F6A95">
        <w:rPr>
          <w:rFonts w:ascii="Book Antiqua" w:hAnsi="Book Antiqua"/>
        </w:rPr>
        <w:t>Colombres</w:t>
      </w:r>
      <w:proofErr w:type="spellEnd"/>
      <w:r w:rsidRPr="008F6A95">
        <w:rPr>
          <w:rFonts w:ascii="Book Antiqua" w:hAnsi="Book Antiqua"/>
        </w:rPr>
        <w:t xml:space="preserve">, La colonización cultural de la América indígena, Serie Antropológica, Ediciones del sol – CEHASS, Bs. As., 1987, citado en </w:t>
      </w:r>
      <w:proofErr w:type="spellStart"/>
      <w:r w:rsidRPr="008F6A95">
        <w:rPr>
          <w:rFonts w:ascii="Book Antiqua" w:hAnsi="Book Antiqua"/>
        </w:rPr>
        <w:t>Cesano</w:t>
      </w:r>
      <w:proofErr w:type="spellEnd"/>
      <w:r w:rsidRPr="008F6A95">
        <w:rPr>
          <w:rFonts w:ascii="Book Antiqua" w:hAnsi="Book Antiqua"/>
        </w:rPr>
        <w:t>, José Daniel, ob. cit.</w:t>
      </w:r>
    </w:p>
  </w:footnote>
  <w:footnote w:id="25">
    <w:p w:rsidR="00E60ED2" w:rsidRPr="008F6A95" w:rsidRDefault="00E60ED2" w:rsidP="008F6A95">
      <w:pPr>
        <w:pStyle w:val="Textonotapie"/>
        <w:spacing w:line="276" w:lineRule="auto"/>
        <w:jc w:val="both"/>
        <w:rPr>
          <w:rFonts w:ascii="Book Antiqua" w:hAnsi="Book Antiqua"/>
          <w:lang w:val="es-ES"/>
        </w:rPr>
      </w:pPr>
      <w:r w:rsidRPr="008F6A95">
        <w:rPr>
          <w:rStyle w:val="Refdenotaalpie"/>
          <w:rFonts w:ascii="Book Antiqua" w:hAnsi="Book Antiqua"/>
        </w:rPr>
        <w:footnoteRef/>
      </w:r>
      <w:r w:rsidRPr="008F6A95">
        <w:rPr>
          <w:rFonts w:ascii="Book Antiqua" w:hAnsi="Book Antiqua"/>
        </w:rPr>
        <w:t xml:space="preserve"> </w:t>
      </w:r>
      <w:r w:rsidRPr="008F6A95">
        <w:rPr>
          <w:rStyle w:val="A1"/>
          <w:rFonts w:ascii="Book Antiqua" w:hAnsi="Book Antiqua"/>
          <w:sz w:val="20"/>
          <w:szCs w:val="20"/>
        </w:rPr>
        <w:t xml:space="preserve">En Convenio 169 de la O.I.T. sobre Pueblos Indígenas: su aplicación en el derecho interno argentino / Juan Manuel Salgado; María Micaela </w:t>
      </w:r>
      <w:proofErr w:type="spellStart"/>
      <w:r w:rsidRPr="008F6A95">
        <w:rPr>
          <w:rStyle w:val="A1"/>
          <w:rFonts w:ascii="Book Antiqua" w:hAnsi="Book Antiqua"/>
          <w:sz w:val="20"/>
          <w:szCs w:val="20"/>
        </w:rPr>
        <w:t>Gomiz</w:t>
      </w:r>
      <w:proofErr w:type="spellEnd"/>
      <w:r w:rsidRPr="008F6A95">
        <w:rPr>
          <w:rStyle w:val="A1"/>
          <w:rFonts w:ascii="Book Antiqua" w:hAnsi="Book Antiqua"/>
          <w:sz w:val="20"/>
          <w:szCs w:val="20"/>
        </w:rPr>
        <w:t xml:space="preserve">; -2a </w:t>
      </w:r>
      <w:proofErr w:type="spellStart"/>
      <w:r w:rsidRPr="008F6A95">
        <w:rPr>
          <w:rStyle w:val="A1"/>
          <w:rFonts w:ascii="Book Antiqua" w:hAnsi="Book Antiqua"/>
          <w:sz w:val="20"/>
          <w:szCs w:val="20"/>
        </w:rPr>
        <w:t>ed</w:t>
      </w:r>
      <w:proofErr w:type="spellEnd"/>
      <w:r w:rsidRPr="008F6A95">
        <w:rPr>
          <w:rStyle w:val="A1"/>
          <w:rFonts w:ascii="Book Antiqua" w:hAnsi="Book Antiqua"/>
          <w:sz w:val="20"/>
          <w:szCs w:val="20"/>
        </w:rPr>
        <w:t>- Neuquén, 2010.</w:t>
      </w:r>
    </w:p>
  </w:footnote>
  <w:footnote w:id="26">
    <w:p w:rsidR="00E60ED2" w:rsidRPr="008F6A95" w:rsidRDefault="00E60ED2" w:rsidP="008F6A95">
      <w:pPr>
        <w:pStyle w:val="Textonotapie"/>
        <w:spacing w:line="276" w:lineRule="auto"/>
        <w:jc w:val="both"/>
        <w:rPr>
          <w:rStyle w:val="A1"/>
          <w:rFonts w:ascii="Book Antiqua" w:hAnsi="Book Antiqua"/>
          <w:sz w:val="20"/>
          <w:szCs w:val="20"/>
        </w:rPr>
      </w:pPr>
      <w:r w:rsidRPr="008F6A95">
        <w:rPr>
          <w:rStyle w:val="Refdenotaalpie"/>
          <w:rFonts w:ascii="Book Antiqua" w:hAnsi="Book Antiqua"/>
        </w:rPr>
        <w:footnoteRef/>
      </w:r>
      <w:r w:rsidRPr="008F6A95">
        <w:rPr>
          <w:rFonts w:ascii="Book Antiqua" w:hAnsi="Book Antiqua"/>
        </w:rPr>
        <w:t xml:space="preserve"> </w:t>
      </w:r>
      <w:r w:rsidRPr="008F6A95">
        <w:rPr>
          <w:rStyle w:val="A1"/>
          <w:rFonts w:ascii="Book Antiqua" w:hAnsi="Book Antiqua"/>
          <w:sz w:val="20"/>
          <w:szCs w:val="20"/>
        </w:rPr>
        <w:t>Becerra, Nicolás, Derecho penal y diversidad cultural. La cuestión indígena, Ciudad Argentina, Buenos Aires, 1997, p. 35.</w:t>
      </w:r>
    </w:p>
  </w:footnote>
  <w:footnote w:id="27">
    <w:p w:rsidR="00E60ED2" w:rsidRPr="008F6A95" w:rsidRDefault="00E60ED2" w:rsidP="008F6A95">
      <w:pPr>
        <w:pStyle w:val="Textonotapie"/>
        <w:spacing w:line="276" w:lineRule="auto"/>
        <w:jc w:val="both"/>
        <w:rPr>
          <w:rFonts w:ascii="Book Antiqua" w:hAnsi="Book Antiqua"/>
          <w:lang w:val="es-ES"/>
        </w:rPr>
      </w:pPr>
      <w:r w:rsidRPr="008F6A95">
        <w:rPr>
          <w:rStyle w:val="Refdenotaalpie"/>
          <w:rFonts w:ascii="Book Antiqua" w:hAnsi="Book Antiqua"/>
        </w:rPr>
        <w:footnoteRef/>
      </w:r>
      <w:r w:rsidRPr="008F6A95">
        <w:rPr>
          <w:rFonts w:ascii="Book Antiqua" w:hAnsi="Book Antiqua"/>
        </w:rPr>
        <w:t xml:space="preserve">  </w:t>
      </w:r>
      <w:proofErr w:type="spellStart"/>
      <w:r w:rsidRPr="008F6A95">
        <w:rPr>
          <w:rFonts w:ascii="Book Antiqua" w:hAnsi="Book Antiqua"/>
        </w:rPr>
        <w:t>Cfme</w:t>
      </w:r>
      <w:proofErr w:type="spellEnd"/>
      <w:r w:rsidRPr="008F6A95">
        <w:rPr>
          <w:rFonts w:ascii="Book Antiqua" w:hAnsi="Book Antiqua"/>
        </w:rPr>
        <w:t xml:space="preserve">., Salgado y </w:t>
      </w:r>
      <w:proofErr w:type="spellStart"/>
      <w:r w:rsidRPr="008F6A95">
        <w:rPr>
          <w:rFonts w:ascii="Book Antiqua" w:hAnsi="Book Antiqua"/>
        </w:rPr>
        <w:t>Gomiz</w:t>
      </w:r>
      <w:proofErr w:type="spellEnd"/>
      <w:r w:rsidRPr="008F6A95">
        <w:rPr>
          <w:rFonts w:ascii="Book Antiqua" w:hAnsi="Book Antiqua"/>
        </w:rPr>
        <w:t xml:space="preserve"> ob. cit.</w:t>
      </w:r>
    </w:p>
  </w:footnote>
  <w:footnote w:id="28">
    <w:p w:rsidR="00E60ED2" w:rsidRPr="008F6A95" w:rsidRDefault="00E60ED2" w:rsidP="008F6A95">
      <w:pPr>
        <w:pStyle w:val="Textonotapie"/>
        <w:spacing w:line="276" w:lineRule="auto"/>
        <w:rPr>
          <w:rStyle w:val="A4"/>
          <w:rFonts w:ascii="Book Antiqua" w:hAnsi="Book Antiqua"/>
          <w:sz w:val="20"/>
          <w:szCs w:val="20"/>
        </w:rPr>
      </w:pPr>
      <w:r w:rsidRPr="008F6A95">
        <w:rPr>
          <w:rStyle w:val="Refdenotaalpie"/>
          <w:rFonts w:ascii="Book Antiqua" w:hAnsi="Book Antiqua"/>
        </w:rPr>
        <w:footnoteRef/>
      </w:r>
      <w:r w:rsidRPr="008F6A95">
        <w:rPr>
          <w:rFonts w:ascii="Book Antiqua" w:hAnsi="Book Antiqua"/>
        </w:rPr>
        <w:t xml:space="preserve"> </w:t>
      </w:r>
      <w:r w:rsidRPr="008F6A95">
        <w:rPr>
          <w:rStyle w:val="A4"/>
          <w:rFonts w:ascii="Book Antiqua" w:hAnsi="Book Antiqua"/>
          <w:sz w:val="20"/>
          <w:szCs w:val="20"/>
        </w:rPr>
        <w:t>Recomendación General Nº XXXI sobre la prevención de la discriminación racial en la administración y el funcionamiento de la justicia penal</w:t>
      </w:r>
      <w:r w:rsidR="006054B9" w:rsidRPr="008F6A95">
        <w:rPr>
          <w:rStyle w:val="A4"/>
          <w:rFonts w:ascii="Book Antiqua" w:hAnsi="Book Antiqua"/>
          <w:sz w:val="20"/>
          <w:szCs w:val="20"/>
        </w:rPr>
        <w:t>.</w:t>
      </w:r>
    </w:p>
  </w:footnote>
  <w:footnote w:id="29">
    <w:p w:rsidR="00E60ED2" w:rsidRPr="008F6A95" w:rsidRDefault="00E60ED2" w:rsidP="008F6A95">
      <w:pPr>
        <w:rPr>
          <w:rFonts w:ascii="Book Antiqua" w:hAnsi="Book Antiqua"/>
          <w:sz w:val="20"/>
          <w:szCs w:val="20"/>
          <w:lang w:val="es-ES_tradnl" w:eastAsia="es-AR"/>
        </w:rPr>
      </w:pPr>
      <w:r w:rsidRPr="008F6A95">
        <w:rPr>
          <w:rStyle w:val="Refdenotaalpie"/>
          <w:rFonts w:ascii="Book Antiqua" w:hAnsi="Book Antiqua"/>
          <w:sz w:val="20"/>
          <w:szCs w:val="20"/>
        </w:rPr>
        <w:footnoteRef/>
      </w:r>
      <w:r w:rsidRPr="008F6A95">
        <w:rPr>
          <w:rFonts w:ascii="Book Antiqua" w:hAnsi="Book Antiqua"/>
          <w:sz w:val="20"/>
          <w:szCs w:val="20"/>
          <w:lang w:val="en-US"/>
        </w:rPr>
        <w:t xml:space="preserve"> </w:t>
      </w:r>
      <w:proofErr w:type="spellStart"/>
      <w:r w:rsidRPr="008F6A95">
        <w:rPr>
          <w:rFonts w:ascii="Book Antiqua" w:hAnsi="Book Antiqua"/>
          <w:sz w:val="20"/>
          <w:szCs w:val="20"/>
          <w:lang w:val="es-ES_tradnl" w:eastAsia="es-AR"/>
        </w:rPr>
        <w:t>Brubaker</w:t>
      </w:r>
      <w:proofErr w:type="spellEnd"/>
      <w:r w:rsidRPr="008F6A95">
        <w:rPr>
          <w:rFonts w:ascii="Book Antiqua" w:hAnsi="Book Antiqua"/>
          <w:sz w:val="20"/>
          <w:szCs w:val="20"/>
          <w:lang w:val="es-ES_tradnl" w:eastAsia="es-AR"/>
        </w:rPr>
        <w:t>, R. y Cooper, F. “</w:t>
      </w:r>
      <w:proofErr w:type="spellStart"/>
      <w:r w:rsidRPr="008F6A95">
        <w:rPr>
          <w:rFonts w:ascii="Book Antiqua" w:hAnsi="Book Antiqua"/>
          <w:sz w:val="20"/>
          <w:szCs w:val="20"/>
          <w:lang w:val="es-ES_tradnl" w:eastAsia="es-AR"/>
        </w:rPr>
        <w:t>Beyond</w:t>
      </w:r>
      <w:proofErr w:type="spellEnd"/>
      <w:r w:rsidRPr="008F6A95">
        <w:rPr>
          <w:rFonts w:ascii="Book Antiqua" w:hAnsi="Book Antiqua"/>
          <w:sz w:val="20"/>
          <w:szCs w:val="20"/>
          <w:lang w:val="es-ES_tradnl" w:eastAsia="es-AR"/>
        </w:rPr>
        <w:t xml:space="preserve"> </w:t>
      </w:r>
      <w:proofErr w:type="spellStart"/>
      <w:r w:rsidRPr="008F6A95">
        <w:rPr>
          <w:rFonts w:ascii="Book Antiqua" w:hAnsi="Book Antiqua"/>
          <w:sz w:val="20"/>
          <w:szCs w:val="20"/>
          <w:lang w:val="es-ES_tradnl" w:eastAsia="es-AR"/>
        </w:rPr>
        <w:t>identity</w:t>
      </w:r>
      <w:proofErr w:type="spellEnd"/>
      <w:r w:rsidRPr="008F6A95">
        <w:rPr>
          <w:rFonts w:ascii="Book Antiqua" w:hAnsi="Book Antiqua"/>
          <w:sz w:val="20"/>
          <w:szCs w:val="20"/>
          <w:lang w:val="es-ES_tradnl" w:eastAsia="es-AR"/>
        </w:rPr>
        <w:t xml:space="preserve">”. </w:t>
      </w:r>
      <w:proofErr w:type="spellStart"/>
      <w:r w:rsidRPr="008F6A95">
        <w:rPr>
          <w:rFonts w:ascii="Book Antiqua" w:hAnsi="Book Antiqua"/>
          <w:sz w:val="20"/>
          <w:szCs w:val="20"/>
          <w:lang w:val="es-ES_tradnl" w:eastAsia="es-AR"/>
        </w:rPr>
        <w:t>Theory</w:t>
      </w:r>
      <w:proofErr w:type="spellEnd"/>
      <w:r w:rsidRPr="008F6A95">
        <w:rPr>
          <w:rFonts w:ascii="Book Antiqua" w:hAnsi="Book Antiqua"/>
          <w:sz w:val="20"/>
          <w:szCs w:val="20"/>
          <w:lang w:val="es-ES_tradnl" w:eastAsia="es-AR"/>
        </w:rPr>
        <w:t xml:space="preserve"> and </w:t>
      </w:r>
      <w:proofErr w:type="spellStart"/>
      <w:r w:rsidRPr="008F6A95">
        <w:rPr>
          <w:rFonts w:ascii="Book Antiqua" w:hAnsi="Book Antiqua"/>
          <w:sz w:val="20"/>
          <w:szCs w:val="20"/>
          <w:lang w:val="es-ES_tradnl" w:eastAsia="es-AR"/>
        </w:rPr>
        <w:t>Society</w:t>
      </w:r>
      <w:proofErr w:type="spellEnd"/>
      <w:r w:rsidRPr="008F6A95">
        <w:rPr>
          <w:rFonts w:ascii="Book Antiqua" w:hAnsi="Book Antiqua"/>
          <w:sz w:val="20"/>
          <w:szCs w:val="20"/>
          <w:lang w:val="es-ES_tradnl" w:eastAsia="es-AR"/>
        </w:rPr>
        <w:t xml:space="preserve">, 2000. </w:t>
      </w:r>
    </w:p>
    <w:p w:rsidR="00E60ED2" w:rsidRPr="008F6A95" w:rsidRDefault="00E60ED2" w:rsidP="008F6A95">
      <w:pPr>
        <w:pStyle w:val="Textonotapie"/>
        <w:rPr>
          <w:rFonts w:ascii="Book Antiqua" w:hAnsi="Book Antiqua"/>
          <w:lang w:val="es-ES"/>
        </w:rPr>
      </w:pPr>
    </w:p>
  </w:footnote>
  <w:footnote w:id="30">
    <w:p w:rsidR="00E60ED2" w:rsidRPr="0018055F" w:rsidRDefault="00E60ED2" w:rsidP="008F6A95">
      <w:pPr>
        <w:pStyle w:val="Textonotapie"/>
        <w:rPr>
          <w:rFonts w:ascii="Book Antiqua" w:hAnsi="Book Antiqua"/>
        </w:rPr>
      </w:pPr>
      <w:r w:rsidRPr="008F6A95">
        <w:rPr>
          <w:rStyle w:val="Refdenotaalpie"/>
          <w:rFonts w:ascii="Book Antiqua" w:hAnsi="Book Antiqua"/>
        </w:rPr>
        <w:footnoteRef/>
      </w:r>
      <w:r w:rsidRPr="008F6A95">
        <w:rPr>
          <w:rFonts w:ascii="Book Antiqua" w:hAnsi="Book Antiqua"/>
        </w:rPr>
        <w:t xml:space="preserve"> </w:t>
      </w:r>
      <w:proofErr w:type="spellStart"/>
      <w:r w:rsidRPr="0018055F">
        <w:rPr>
          <w:rFonts w:ascii="Book Antiqua" w:hAnsi="Book Antiqua"/>
          <w:lang w:eastAsia="es-AR"/>
        </w:rPr>
        <w:t>Segato</w:t>
      </w:r>
      <w:proofErr w:type="spellEnd"/>
      <w:r w:rsidRPr="0018055F">
        <w:rPr>
          <w:rFonts w:ascii="Book Antiqua" w:hAnsi="Book Antiqua"/>
          <w:lang w:eastAsia="es-AR"/>
        </w:rPr>
        <w:t>, Rita Laura: La Nación y sus Otros: raza, etnicidad y diversidad religiosa en tiempos de Políticas de la Identidad. Buenos Aires, Prometeo Libros, 2007</w:t>
      </w:r>
    </w:p>
  </w:footnote>
  <w:footnote w:id="31">
    <w:p w:rsidR="00E60ED2" w:rsidRPr="008F6A95" w:rsidRDefault="00E60ED2" w:rsidP="008F6A95">
      <w:pPr>
        <w:spacing w:line="240" w:lineRule="auto"/>
        <w:rPr>
          <w:rFonts w:ascii="Book Antiqua" w:hAnsi="Book Antiqua"/>
          <w:sz w:val="20"/>
          <w:szCs w:val="20"/>
          <w:lang w:eastAsia="es-AR"/>
        </w:rPr>
      </w:pPr>
      <w:r w:rsidRPr="0018055F">
        <w:rPr>
          <w:rStyle w:val="Refdenotaalpie"/>
          <w:rFonts w:ascii="Book Antiqua" w:hAnsi="Book Antiqua"/>
          <w:sz w:val="20"/>
          <w:szCs w:val="20"/>
        </w:rPr>
        <w:footnoteRef/>
      </w:r>
      <w:r w:rsidRPr="0018055F">
        <w:rPr>
          <w:rFonts w:ascii="Book Antiqua" w:hAnsi="Book Antiqua"/>
          <w:sz w:val="20"/>
          <w:szCs w:val="20"/>
        </w:rPr>
        <w:t xml:space="preserve"> </w:t>
      </w:r>
      <w:r w:rsidRPr="0018055F">
        <w:rPr>
          <w:rFonts w:ascii="Book Antiqua" w:hAnsi="Book Antiqua"/>
          <w:sz w:val="20"/>
          <w:szCs w:val="20"/>
          <w:lang w:eastAsia="es-AR"/>
        </w:rPr>
        <w:t>Briones, Claudia:</w:t>
      </w:r>
      <w:r w:rsidRPr="008F6A95">
        <w:rPr>
          <w:rFonts w:ascii="Book Antiqua" w:hAnsi="Book Antiqua"/>
          <w:sz w:val="20"/>
          <w:szCs w:val="20"/>
          <w:lang w:eastAsia="es-AR"/>
        </w:rPr>
        <w:t xml:space="preserve"> Cartografías argentinas: políticas indigenistas y formaciones provinciales de alteridad, Claudia Briones Ediciones, Buenos Aires, 2002</w:t>
      </w:r>
    </w:p>
  </w:footnote>
  <w:footnote w:id="32">
    <w:p w:rsidR="00E60ED2" w:rsidRPr="008F6A95" w:rsidRDefault="00E60ED2" w:rsidP="008F6A95">
      <w:pPr>
        <w:pStyle w:val="Textonotapie"/>
        <w:rPr>
          <w:rFonts w:ascii="Book Antiqua" w:hAnsi="Book Antiqua"/>
        </w:rPr>
      </w:pPr>
      <w:r w:rsidRPr="008F6A95">
        <w:rPr>
          <w:rStyle w:val="Refdenotaalpie"/>
          <w:rFonts w:ascii="Book Antiqua" w:hAnsi="Book Antiqua"/>
        </w:rPr>
        <w:footnoteRef/>
      </w:r>
      <w:r w:rsidRPr="008F6A95">
        <w:rPr>
          <w:rFonts w:ascii="Book Antiqua" w:hAnsi="Book Antiqua"/>
        </w:rPr>
        <w:t xml:space="preserve">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6B9" w:rsidRPr="00AB4365" w:rsidRDefault="00E60ED2">
    <w:pPr>
      <w:pStyle w:val="Encabezado"/>
      <w:ind w:right="-374"/>
      <w:rPr>
        <w:rFonts w:ascii="Book Antiqua" w:hAnsi="Book Antiqua"/>
        <w:sz w:val="24"/>
        <w:szCs w:val="24"/>
      </w:rPr>
    </w:pPr>
    <w:r w:rsidRPr="00AB4365">
      <w:rPr>
        <w:rFonts w:ascii="Book Antiqua" w:hAnsi="Book Antiqua"/>
        <w:sz w:val="24"/>
        <w:szCs w:val="24"/>
      </w:rPr>
      <w:t xml:space="preserve"> </w:t>
    </w:r>
  </w:p>
  <w:p w:rsidR="004A66B9" w:rsidRPr="00AB4365" w:rsidRDefault="00E96711">
    <w:pPr>
      <w:pStyle w:val="Encabezado"/>
      <w:ind w:right="-374"/>
      <w:rPr>
        <w:rFonts w:ascii="Signet Roundhand ATT" w:hAnsi="Signet Roundhand ATT"/>
        <w:lang w:val="es-MX"/>
      </w:rPr>
    </w:pPr>
    <w:r>
      <w:rPr>
        <w:noProof/>
        <w:lang w:val="es-AR" w:eastAsia="es-AR"/>
      </w:rPr>
      <mc:AlternateContent>
        <mc:Choice Requires="wps">
          <w:drawing>
            <wp:anchor distT="0" distB="0" distL="114300" distR="114300" simplePos="0" relativeHeight="251661312" behindDoc="0" locked="0" layoutInCell="1" allowOverlap="1">
              <wp:simplePos x="0" y="0"/>
              <wp:positionH relativeFrom="column">
                <wp:posOffset>3515360</wp:posOffset>
              </wp:positionH>
              <wp:positionV relativeFrom="paragraph">
                <wp:posOffset>255270</wp:posOffset>
              </wp:positionV>
              <wp:extent cx="2595880" cy="588645"/>
              <wp:effectExtent l="0" t="0" r="0" b="190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588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66B9" w:rsidRPr="008F2999" w:rsidRDefault="00E60ED2" w:rsidP="00DD5961">
                          <w:pPr>
                            <w:jc w:val="center"/>
                            <w:rPr>
                              <w:rFonts w:ascii="Book Antiqua" w:hAnsi="Book Antiqua"/>
                              <w:sz w:val="20"/>
                              <w:szCs w:val="20"/>
                              <w:lang w:val="es-AR"/>
                            </w:rPr>
                          </w:pPr>
                          <w:r w:rsidRPr="008F2999">
                            <w:rPr>
                              <w:rFonts w:ascii="Book Antiqua" w:hAnsi="Book Antiqua"/>
                              <w:sz w:val="20"/>
                              <w:szCs w:val="20"/>
                              <w:lang w:val="es-AR"/>
                            </w:rPr>
                            <w:t>Año 2016- Bicentenario de la Declaración de la Independencia Nacional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76.8pt;margin-top:20.1pt;width:204.4pt;height:4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" stroked="f">
              <v:textbox>
                <w:txbxContent>
                  <w:p w:rsidR="004A66B9" w:rsidRPr="008F2999" w:rsidRDefault="00E60ED2" w:rsidP="00DD5961">
                    <w:pPr>
                      <w:jc w:val="center"/>
                      <w:rPr>
                        <w:rFonts w:ascii="Book Antiqua" w:hAnsi="Book Antiqua"/>
                        <w:sz w:val="20"/>
                        <w:szCs w:val="20"/>
                        <w:lang w:val="es-AR"/>
                      </w:rPr>
                    </w:pPr>
                    <w:r w:rsidRPr="008F2999">
                      <w:rPr>
                        <w:rFonts w:ascii="Book Antiqua" w:hAnsi="Book Antiqua"/>
                        <w:sz w:val="20"/>
                        <w:szCs w:val="20"/>
                        <w:lang w:val="es-AR"/>
                      </w:rPr>
                      <w:t>Año 2016- Bicentenario de la Declaración de la Independencia Nacional</w:t>
                    </w:r>
                  </w:p>
                </w:txbxContent>
              </v:textbox>
            </v:shape>
          </w:pict>
        </mc:Fallback>
      </mc:AlternateContent>
    </w:r>
    <w:r w:rsidR="00E60ED2">
      <w:rPr>
        <w:noProof/>
        <w:lang w:val="es-AR" w:eastAsia="es-AR"/>
      </w:rPr>
      <w:drawing>
        <wp:inline distT="0" distB="0" distL="0" distR="0">
          <wp:extent cx="523875" cy="92392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3875" cy="923925"/>
                  </a:xfrm>
                  <a:prstGeom prst="rect">
                    <a:avLst/>
                  </a:prstGeom>
                  <a:noFill/>
                  <a:ln w="9525">
                    <a:noFill/>
                    <a:miter lim="800000"/>
                    <a:headEnd/>
                    <a:tailEnd/>
                  </a:ln>
                </pic:spPr>
              </pic:pic>
            </a:graphicData>
          </a:graphic>
        </wp:inline>
      </w:drawing>
    </w:r>
  </w:p>
  <w:p w:rsidR="004A66B9" w:rsidRDefault="00E60ED2">
    <w:pPr>
      <w:pStyle w:val="Encabezado"/>
      <w:rPr>
        <w:lang w:val="es-MX"/>
      </w:rPr>
    </w:pPr>
    <w:r>
      <w:rPr>
        <w:lang w:val="es-MX"/>
      </w:rPr>
      <w:t xml:space="preserve">Ministerio Público de </w:t>
    </w:r>
    <w:smartTag w:uri="urn:schemas-microsoft-com:office:smarttags" w:element="PersonName">
      <w:smartTagPr>
        <w:attr w:name="ProductID" w:val="la Defensa"/>
      </w:smartTagPr>
      <w:r>
        <w:rPr>
          <w:lang w:val="es-MX"/>
        </w:rPr>
        <w:t>la Defensa</w:t>
      </w:r>
    </w:smartTag>
  </w:p>
  <w:p w:rsidR="004A66B9" w:rsidRDefault="00E96711">
    <w:pPr>
      <w:pStyle w:val="Encabezado"/>
      <w:ind w:right="-374"/>
      <w:rPr>
        <w:bCs/>
        <w:sz w:val="44"/>
        <w:lang w:val="es-MX"/>
      </w:rPr>
    </w:pPr>
    <w:r>
      <w:rPr>
        <w:bCs/>
        <w:noProof/>
        <w:lang w:val="es-AR" w:eastAsia="es-AR"/>
      </w:rPr>
      <mc:AlternateContent>
        <mc:Choice Requires="wps">
          <w:drawing>
            <wp:anchor distT="0" distB="0" distL="114300" distR="114300" simplePos="0" relativeHeight="251660288" behindDoc="1" locked="0" layoutInCell="1" allowOverlap="1">
              <wp:simplePos x="0" y="0"/>
              <wp:positionH relativeFrom="column">
                <wp:posOffset>-628650</wp:posOffset>
              </wp:positionH>
              <wp:positionV relativeFrom="paragraph">
                <wp:posOffset>387985</wp:posOffset>
              </wp:positionV>
              <wp:extent cx="914400" cy="10698480"/>
              <wp:effectExtent l="0" t="0" r="0" b="7620"/>
              <wp:wrapTight wrapText="largest">
                <wp:wrapPolygon edited="0">
                  <wp:start x="0" y="0"/>
                  <wp:lineTo x="0" y="21577"/>
                  <wp:lineTo x="21150" y="21577"/>
                  <wp:lineTo x="21150" y="0"/>
                  <wp:lineTo x="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698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1276"/>
                          </w:tblGrid>
                          <w:tr w:rsidR="004A66B9">
                            <w:trPr>
                              <w:cantSplit/>
                              <w:trHeight w:val="15986"/>
                            </w:trPr>
                            <w:tc>
                              <w:tcPr>
                                <w:tcW w:w="1276" w:type="dxa"/>
                                <w:textDirection w:val="btLr"/>
                                <w:vAlign w:val="center"/>
                              </w:tcPr>
                              <w:p w:rsidR="004A66B9" w:rsidRDefault="00E60ED2">
                                <w:pPr>
                                  <w:ind w:left="113" w:right="113"/>
                                  <w:jc w:val="center"/>
                                  <w:rPr>
                                    <w:rFonts w:ascii="Signet Roundhand" w:hAnsi="Signet Roundhand"/>
                                    <w:sz w:val="32"/>
                                  </w:rPr>
                                </w:pPr>
                                <w:r>
                                  <w:rPr>
                                    <w:spacing w:val="44"/>
                                    <w:sz w:val="28"/>
                                  </w:rPr>
                                  <w:t>USO OFICIAL</w:t>
                                </w:r>
                              </w:p>
                            </w:tc>
                          </w:tr>
                        </w:tbl>
                        <w:p w:rsidR="004A66B9" w:rsidRDefault="00585F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9.5pt;margin-top:30.55pt;width:1in;height:84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" stroked="f">
              <v:textbox>
                <w:txbxContent>
                  <w:tbl>
                    <w:tblPr>
                      <w:tblW w:w="0" w:type="auto"/>
                      <w:tblInd w:w="70" w:type="dxa"/>
                      <w:tblLayout w:type="fixed"/>
                      <w:tblCellMar>
                        <w:left w:w="70" w:type="dxa"/>
                        <w:right w:w="70" w:type="dxa"/>
                      </w:tblCellMar>
                      <w:tblLook w:val="0000" w:firstRow="0" w:lastRow="0" w:firstColumn="0" w:lastColumn="0" w:noHBand="0" w:noVBand="0"/>
                    </w:tblPr>
                    <w:tblGrid>
                      <w:gridCol w:w="1276"/>
                    </w:tblGrid>
                    <w:tr w:rsidR="004A66B9">
                      <w:trPr>
                        <w:cantSplit/>
                        <w:trHeight w:val="15986"/>
                      </w:trPr>
                      <w:tc>
                        <w:tcPr>
                          <w:tcW w:w="1276" w:type="dxa"/>
                          <w:textDirection w:val="btLr"/>
                          <w:vAlign w:val="center"/>
                        </w:tcPr>
                        <w:p w:rsidR="004A66B9" w:rsidRDefault="00E60ED2">
                          <w:pPr>
                            <w:ind w:left="113" w:right="113"/>
                            <w:jc w:val="center"/>
                            <w:rPr>
                              <w:rFonts w:ascii="Signet Roundhand" w:hAnsi="Signet Roundhand"/>
                              <w:sz w:val="32"/>
                            </w:rPr>
                          </w:pPr>
                          <w:r>
                            <w:rPr>
                              <w:spacing w:val="44"/>
                              <w:sz w:val="28"/>
                            </w:rPr>
                            <w:t>USO OFICIAL</w:t>
                          </w:r>
                        </w:p>
                      </w:tc>
                    </w:tr>
                  </w:tbl>
                  <w:p w:rsidR="004A66B9" w:rsidRDefault="00585FCE"/>
                </w:txbxContent>
              </v:textbox>
              <w10:wrap type="tight" side="largest"/>
            </v:shape>
          </w:pict>
        </mc:Fallback>
      </mc:AlternateContent>
    </w:r>
    <w:r w:rsidR="00E60ED2">
      <w:rPr>
        <w:bCs/>
        <w:spacing w:val="20"/>
        <w:lang w:val="es-MX"/>
      </w:rPr>
      <w:t xml:space="preserve">Defensoría General de </w:t>
    </w:r>
    <w:smartTag w:uri="urn:schemas-microsoft-com:office:smarttags" w:element="PersonName">
      <w:smartTagPr>
        <w:attr w:name="ProductID" w:val="la Nación"/>
      </w:smartTagPr>
      <w:r w:rsidR="00E60ED2">
        <w:rPr>
          <w:bCs/>
          <w:spacing w:val="20"/>
          <w:lang w:val="es-MX"/>
        </w:rPr>
        <w:t>la Nación</w:t>
      </w:r>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07AD6"/>
    <w:multiLevelType w:val="multilevel"/>
    <w:tmpl w:val="48C629D2"/>
    <w:lvl w:ilvl="0">
      <w:start w:val="1"/>
      <w:numFmt w:val="decimal"/>
      <w:lvlText w:val="%1."/>
      <w:lvlJc w:val="left"/>
      <w:pPr>
        <w:ind w:left="720" w:hanging="360"/>
      </w:pPr>
      <w:rPr>
        <w:rFonts w:ascii="Book Antiqua" w:eastAsia="Times New Roman" w:hAnsi="Book Antiqua" w:hint="default"/>
        <w:b/>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EFE36F5"/>
    <w:multiLevelType w:val="multilevel"/>
    <w:tmpl w:val="1B143042"/>
    <w:lvl w:ilvl="0">
      <w:start w:val="2"/>
      <w:numFmt w:val="decimal"/>
      <w:lvlText w:val="%1."/>
      <w:lvlJc w:val="left"/>
      <w:pPr>
        <w:ind w:left="720" w:hanging="360"/>
      </w:pPr>
      <w:rPr>
        <w:rFonts w:ascii="Book Antiqua" w:eastAsia="Times New Roman" w:hAnsi="Book Antiqua" w:hint="default"/>
        <w:b/>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ED2"/>
    <w:rsid w:val="00012F5E"/>
    <w:rsid w:val="000B5E9C"/>
    <w:rsid w:val="00161A7B"/>
    <w:rsid w:val="0018055F"/>
    <w:rsid w:val="00243BA7"/>
    <w:rsid w:val="00261575"/>
    <w:rsid w:val="00272F92"/>
    <w:rsid w:val="0027715F"/>
    <w:rsid w:val="002835EE"/>
    <w:rsid w:val="002D0E25"/>
    <w:rsid w:val="002E2220"/>
    <w:rsid w:val="003B42CC"/>
    <w:rsid w:val="00441E88"/>
    <w:rsid w:val="00510BDB"/>
    <w:rsid w:val="00585FCE"/>
    <w:rsid w:val="005B0DBF"/>
    <w:rsid w:val="005B79F5"/>
    <w:rsid w:val="006054B9"/>
    <w:rsid w:val="006A0D74"/>
    <w:rsid w:val="006F0F1A"/>
    <w:rsid w:val="007154EE"/>
    <w:rsid w:val="007C28B1"/>
    <w:rsid w:val="007E591A"/>
    <w:rsid w:val="008301B6"/>
    <w:rsid w:val="008B1804"/>
    <w:rsid w:val="008F6A95"/>
    <w:rsid w:val="00941DBB"/>
    <w:rsid w:val="00951511"/>
    <w:rsid w:val="0095533F"/>
    <w:rsid w:val="00983BAE"/>
    <w:rsid w:val="00A41B30"/>
    <w:rsid w:val="00B507DC"/>
    <w:rsid w:val="00B51DCE"/>
    <w:rsid w:val="00B5671A"/>
    <w:rsid w:val="00B9569D"/>
    <w:rsid w:val="00D47296"/>
    <w:rsid w:val="00D56DE5"/>
    <w:rsid w:val="00D766CC"/>
    <w:rsid w:val="00D815E8"/>
    <w:rsid w:val="00DF0B57"/>
    <w:rsid w:val="00DF3314"/>
    <w:rsid w:val="00E24A11"/>
    <w:rsid w:val="00E60ED2"/>
    <w:rsid w:val="00E66047"/>
    <w:rsid w:val="00E86525"/>
    <w:rsid w:val="00E96711"/>
    <w:rsid w:val="00F515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84383B7D-A961-4688-9499-E6DF99D6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ED2"/>
    <w:pPr>
      <w:spacing w:after="0" w:line="360" w:lineRule="auto"/>
      <w:jc w:val="both"/>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60ED2"/>
    <w:pPr>
      <w:tabs>
        <w:tab w:val="center" w:pos="4419"/>
        <w:tab w:val="right" w:pos="8838"/>
      </w:tabs>
      <w:spacing w:line="240" w:lineRule="auto"/>
      <w:jc w:val="center"/>
    </w:pPr>
    <w:rPr>
      <w:rFonts w:ascii="Kunstler Script" w:hAnsi="Kunstler Script"/>
      <w:b/>
      <w:sz w:val="48"/>
      <w:szCs w:val="20"/>
    </w:rPr>
  </w:style>
  <w:style w:type="character" w:customStyle="1" w:styleId="EncabezadoCar">
    <w:name w:val="Encabezado Car"/>
    <w:basedOn w:val="Fuentedeprrafopredeter"/>
    <w:link w:val="Encabezado"/>
    <w:rsid w:val="00E60ED2"/>
    <w:rPr>
      <w:rFonts w:ascii="Kunstler Script" w:eastAsia="Times New Roman" w:hAnsi="Kunstler Script" w:cs="Times New Roman"/>
      <w:b/>
      <w:sz w:val="48"/>
      <w:szCs w:val="20"/>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Ca,FA Fu?notentext,C,ft"/>
    <w:basedOn w:val="Normal"/>
    <w:link w:val="TextonotapieCar"/>
    <w:uiPriority w:val="99"/>
    <w:qFormat/>
    <w:rsid w:val="00E60ED2"/>
    <w:pPr>
      <w:overflowPunct w:val="0"/>
      <w:autoSpaceDE w:val="0"/>
      <w:autoSpaceDN w:val="0"/>
      <w:adjustRightInd w:val="0"/>
      <w:spacing w:line="240" w:lineRule="auto"/>
      <w:jc w:val="left"/>
      <w:textAlignment w:val="baseline"/>
    </w:pPr>
    <w:rPr>
      <w:rFonts w:ascii="Times New Roman" w:hAnsi="Times New Roman"/>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 Car,Ca Car"/>
    <w:basedOn w:val="Fuentedeprrafopredeter"/>
    <w:link w:val="Textonotapie"/>
    <w:uiPriority w:val="99"/>
    <w:rsid w:val="00E60ED2"/>
    <w:rPr>
      <w:rFonts w:ascii="Times New Roman" w:eastAsia="Times New Roman" w:hAnsi="Times New Roman" w:cs="Times New Roman"/>
      <w:sz w:val="20"/>
      <w:szCs w:val="20"/>
      <w:lang w:val="es-ES_tradnl" w:eastAsia="es-ES"/>
    </w:rPr>
  </w:style>
  <w:style w:type="character" w:styleId="Refdenotaalpie">
    <w:name w:val="footnote reference"/>
    <w:aliases w:val="Ref. de nota al pie 2,Ref,de nota al pie,Texto de nota al pie,Appel note de bas de page,Footnotes refss,Footnote number,referencia nota al pie,BVI fnr,f,4_G,16 Point,Superscript 6 Point,Texto nota al pie,Footnote Reference Char3"/>
    <w:basedOn w:val="Fuentedeprrafopredeter"/>
    <w:uiPriority w:val="99"/>
    <w:rsid w:val="00E60ED2"/>
    <w:rPr>
      <w:vertAlign w:val="superscript"/>
    </w:rPr>
  </w:style>
  <w:style w:type="paragraph" w:customStyle="1" w:styleId="Pa17">
    <w:name w:val="Pa17"/>
    <w:basedOn w:val="Normal"/>
    <w:next w:val="Normal"/>
    <w:uiPriority w:val="99"/>
    <w:rsid w:val="00E60ED2"/>
    <w:pPr>
      <w:autoSpaceDE w:val="0"/>
      <w:autoSpaceDN w:val="0"/>
      <w:adjustRightInd w:val="0"/>
      <w:spacing w:line="241" w:lineRule="atLeast"/>
      <w:jc w:val="left"/>
    </w:pPr>
    <w:rPr>
      <w:rFonts w:ascii="Times New Roman" w:eastAsia="Calibri" w:hAnsi="Times New Roman"/>
    </w:rPr>
  </w:style>
  <w:style w:type="character" w:customStyle="1" w:styleId="A1">
    <w:name w:val="A1"/>
    <w:uiPriority w:val="99"/>
    <w:rsid w:val="00E60ED2"/>
    <w:rPr>
      <w:color w:val="000000"/>
      <w:sz w:val="18"/>
      <w:szCs w:val="18"/>
    </w:rPr>
  </w:style>
  <w:style w:type="character" w:customStyle="1" w:styleId="A6">
    <w:name w:val="A6"/>
    <w:uiPriority w:val="99"/>
    <w:rsid w:val="00E60ED2"/>
    <w:rPr>
      <w:color w:val="000000"/>
      <w:sz w:val="9"/>
      <w:szCs w:val="9"/>
    </w:rPr>
  </w:style>
  <w:style w:type="character" w:customStyle="1" w:styleId="A0">
    <w:name w:val="A0"/>
    <w:uiPriority w:val="99"/>
    <w:rsid w:val="00E60ED2"/>
    <w:rPr>
      <w:color w:val="000000"/>
      <w:sz w:val="20"/>
      <w:szCs w:val="20"/>
    </w:rPr>
  </w:style>
  <w:style w:type="character" w:customStyle="1" w:styleId="A4">
    <w:name w:val="A4"/>
    <w:uiPriority w:val="99"/>
    <w:rsid w:val="00E60ED2"/>
    <w:rPr>
      <w:color w:val="000000"/>
      <w:sz w:val="16"/>
      <w:szCs w:val="16"/>
    </w:rPr>
  </w:style>
  <w:style w:type="paragraph" w:styleId="Prrafodelista">
    <w:name w:val="List Paragraph"/>
    <w:basedOn w:val="Normal"/>
    <w:uiPriority w:val="34"/>
    <w:qFormat/>
    <w:rsid w:val="00E60ED2"/>
    <w:pPr>
      <w:ind w:left="720"/>
      <w:contextualSpacing/>
    </w:pPr>
  </w:style>
  <w:style w:type="paragraph" w:customStyle="1" w:styleId="Default">
    <w:name w:val="Default"/>
    <w:rsid w:val="00E60ED2"/>
    <w:pPr>
      <w:autoSpaceDE w:val="0"/>
      <w:autoSpaceDN w:val="0"/>
      <w:adjustRightInd w:val="0"/>
      <w:spacing w:after="0" w:line="240" w:lineRule="auto"/>
    </w:pPr>
    <w:rPr>
      <w:rFonts w:ascii="Calibri" w:eastAsia="Calibri" w:hAnsi="Calibri" w:cs="Calibri"/>
      <w:color w:val="000000"/>
      <w:sz w:val="24"/>
      <w:szCs w:val="24"/>
      <w:lang w:eastAsia="es-ES"/>
    </w:rPr>
  </w:style>
  <w:style w:type="character" w:styleId="Hipervnculo">
    <w:name w:val="Hyperlink"/>
    <w:basedOn w:val="Fuentedeprrafopredeter"/>
    <w:uiPriority w:val="99"/>
    <w:unhideWhenUsed/>
    <w:rsid w:val="00E60ED2"/>
    <w:rPr>
      <w:color w:val="0000FF"/>
      <w:u w:val="single"/>
    </w:rPr>
  </w:style>
  <w:style w:type="paragraph" w:styleId="Textodeglobo">
    <w:name w:val="Balloon Text"/>
    <w:basedOn w:val="Normal"/>
    <w:link w:val="TextodegloboCar"/>
    <w:uiPriority w:val="99"/>
    <w:semiHidden/>
    <w:unhideWhenUsed/>
    <w:rsid w:val="00E60ED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0ED2"/>
    <w:rPr>
      <w:rFonts w:ascii="Tahoma" w:eastAsia="Times New Roman" w:hAnsi="Tahoma" w:cs="Tahoma"/>
      <w:sz w:val="16"/>
      <w:szCs w:val="16"/>
      <w:lang w:eastAsia="es-ES"/>
    </w:rPr>
  </w:style>
  <w:style w:type="paragraph" w:styleId="Subttulo">
    <w:name w:val="Subtitle"/>
    <w:basedOn w:val="Normal"/>
    <w:next w:val="Normal"/>
    <w:link w:val="SubttuloCar"/>
    <w:uiPriority w:val="11"/>
    <w:qFormat/>
    <w:rsid w:val="00D766C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D766CC"/>
    <w:rPr>
      <w:rFonts w:eastAsiaTheme="minorEastAsia"/>
      <w:color w:val="5A5A5A" w:themeColor="text1" w:themeTint="A5"/>
      <w:spacing w:val="15"/>
      <w:lang w:eastAsia="es-ES"/>
    </w:rPr>
  </w:style>
  <w:style w:type="paragraph" w:styleId="Piedepgina">
    <w:name w:val="footer"/>
    <w:basedOn w:val="Normal"/>
    <w:link w:val="PiedepginaCar"/>
    <w:uiPriority w:val="99"/>
    <w:unhideWhenUsed/>
    <w:rsid w:val="00B51DC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B51DCE"/>
    <w:rPr>
      <w:rFonts w:ascii="Arial" w:eastAsia="Times New Roman" w:hAnsi="Arial"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movimientocontralaintolerancia.com/download/didacticos/numero1.pdf" TargetMode="External"/><Relationship Id="rId7" Type="http://schemas.openxmlformats.org/officeDocument/2006/relationships/hyperlink" Target="http://horizontesyc.com.ar/archivos/1251126095/DIVERSIDAD_CULTURAL_Y_TEOR%CDA_DEL_ERROR.pdf" TargetMode="External"/><Relationship Id="rId2" Type="http://schemas.openxmlformats.org/officeDocument/2006/relationships/hyperlink" Target="http://www.opacmeiga.rbgalicia.org/ResultadoBusqueda.aspx?CodigoBiblioteca=CBM029&amp;Valores=DEMINISTERIO%20DE%20TRABAJO%20Y%20ASUNTOS%20SOCIALES" TargetMode="External"/><Relationship Id="rId1" Type="http://schemas.openxmlformats.org/officeDocument/2006/relationships/hyperlink" Target="http://www.corteconstitucional.gov.co/RELATORIA/2013/C-359-13.htm" TargetMode="External"/><Relationship Id="rId6" Type="http://schemas.openxmlformats.org/officeDocument/2006/relationships/hyperlink" Target="http://argentina.indymedia.org/news/2007/05/516542.php" TargetMode="External"/><Relationship Id="rId5" Type="http://schemas.openxmlformats.org/officeDocument/2006/relationships/hyperlink" Target="http://repositorio.filo.uba.ar/xmlui/bitstream/handle/filodigital/904/uba_ffyl_t_2009_857868.pdf?sequence=1&amp;isAllowed=%20y" TargetMode="External"/><Relationship Id="rId4" Type="http://schemas.openxmlformats.org/officeDocument/2006/relationships/hyperlink" Target="http://www.buenosaires.gob.ar/derechoshumanos/observator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8D9CB-D88B-4190-9AE4-63B6D816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22</Pages>
  <Words>7197</Words>
  <Characters>39588</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jazzali</dc:creator>
  <cp:keywords/>
  <dc:description/>
  <cp:lastModifiedBy>Barbara Estela Carlotto</cp:lastModifiedBy>
  <cp:revision>3</cp:revision>
  <dcterms:created xsi:type="dcterms:W3CDTF">2016-12-23T12:47:00Z</dcterms:created>
  <dcterms:modified xsi:type="dcterms:W3CDTF">2016-12-23T13:55:00Z</dcterms:modified>
</cp:coreProperties>
</file>